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 w:rsidTr="0088787F"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2272AD" w14:paraId="05479DA8" w14:textId="77777777" w:rsidTr="0088787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2536" w14:textId="2F1EC648" w:rsidR="002272AD" w:rsidRPr="00EE616A" w:rsidRDefault="002272AD" w:rsidP="00C63D8C">
            <w:pPr>
              <w:pStyle w:val="FSCtitle1"/>
              <w:rPr>
                <w:color w:val="FF0000"/>
              </w:rPr>
            </w:pPr>
            <w:r w:rsidRPr="004B339A">
              <w:t xml:space="preserve">No. FSC </w:t>
            </w:r>
            <w:r w:rsidR="006359D9">
              <w:t>123</w:t>
            </w:r>
            <w:r w:rsidRPr="005114D1">
              <w:t xml:space="preserve"> </w:t>
            </w:r>
            <w:r w:rsidR="001D0547">
              <w:t>Thursday</w:t>
            </w:r>
            <w:r w:rsidRPr="00B00253">
              <w:t xml:space="preserve">, </w:t>
            </w:r>
            <w:r w:rsidR="00AD51D6">
              <w:t>29</w:t>
            </w:r>
            <w:r w:rsidR="006359D9">
              <w:t xml:space="preserve"> November </w:t>
            </w:r>
            <w:r w:rsidR="00B40C28" w:rsidRPr="00EE616A">
              <w:t>2018</w:t>
            </w:r>
          </w:p>
          <w:p w14:paraId="05479DA6" w14:textId="7DEC7137" w:rsidR="002272AD" w:rsidRPr="00C90C7D" w:rsidRDefault="002272AD" w:rsidP="00EA059A">
            <w:pPr>
              <w:rPr>
                <w:sz w:val="18"/>
              </w:rPr>
            </w:pPr>
            <w:r w:rsidRPr="004B339A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5BA4AA98" w:rsidR="002272AD" w:rsidRDefault="002272AD" w:rsidP="00B402D0">
            <w:pPr>
              <w:pStyle w:val="Heading4"/>
              <w:spacing w:before="0"/>
              <w:jc w:val="center"/>
              <w:rPr>
                <w:sz w:val="32"/>
              </w:rPr>
            </w:pPr>
            <w:r>
              <w:rPr>
                <w:sz w:val="32"/>
              </w:rPr>
              <w:t>Food Standards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7A89642E" w14:textId="77777777" w:rsidR="002272AD" w:rsidRPr="00921EC1" w:rsidRDefault="002272AD" w:rsidP="002272AD">
      <w:pPr>
        <w:rPr>
          <w:sz w:val="52"/>
        </w:rPr>
      </w:pPr>
    </w:p>
    <w:p w14:paraId="03D52F07" w14:textId="31656E69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 xml:space="preserve">Amendment No. </w:t>
      </w:r>
      <w:r w:rsidR="006359D9">
        <w:rPr>
          <w:b/>
          <w:bCs/>
          <w:sz w:val="32"/>
          <w:szCs w:val="32"/>
        </w:rPr>
        <w:t>182</w:t>
      </w:r>
    </w:p>
    <w:p w14:paraId="2479CBD4" w14:textId="03DAD4F2" w:rsidR="002272AD" w:rsidRPr="00921EC1" w:rsidRDefault="002272AD" w:rsidP="002272AD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No.1</w:t>
      </w:r>
      <w:r w:rsidR="00E01859">
        <w:t>8</w:t>
      </w:r>
      <w:r w:rsidR="006359D9">
        <w:t>2</w:t>
      </w:r>
      <w:r w:rsidRPr="00921EC1">
        <w:t>.</w:t>
      </w:r>
    </w:p>
    <w:p w14:paraId="6F8D44E7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</w:p>
    <w:p w14:paraId="1999374C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5EB2F4F" w14:textId="77777777" w:rsidR="002272AD" w:rsidRPr="006E00BB" w:rsidRDefault="002272AD" w:rsidP="002272AD">
      <w:pPr>
        <w:jc w:val="center"/>
        <w:rPr>
          <w:b/>
          <w:bCs/>
          <w:sz w:val="32"/>
          <w:szCs w:val="32"/>
        </w:rPr>
      </w:pPr>
    </w:p>
    <w:p w14:paraId="05479DB5" w14:textId="340A0680" w:rsidR="001E3222" w:rsidRPr="00AD51D6" w:rsidRDefault="0038057F" w:rsidP="00285C5E">
      <w:pPr>
        <w:numPr>
          <w:ilvl w:val="0"/>
          <w:numId w:val="6"/>
        </w:numPr>
      </w:pPr>
      <w:r w:rsidRPr="00AD51D6">
        <w:rPr>
          <w:b/>
        </w:rPr>
        <w:t>F</w:t>
      </w:r>
      <w:r w:rsidR="00AD51D6">
        <w:rPr>
          <w:b/>
        </w:rPr>
        <w:t xml:space="preserve">ood Standards (Application A1137 </w:t>
      </w:r>
      <w:r w:rsidR="00AD51D6" w:rsidRPr="00D42EB3">
        <w:rPr>
          <w:b/>
          <w:color w:val="000000" w:themeColor="text1"/>
        </w:rPr>
        <w:t>–</w:t>
      </w:r>
      <w:r w:rsidR="00AD51D6" w:rsidRPr="00D42EB3">
        <w:rPr>
          <w:color w:val="000000" w:themeColor="text1"/>
        </w:rPr>
        <w:t xml:space="preserve"> </w:t>
      </w:r>
      <w:r w:rsidR="00AD51D6" w:rsidRPr="00B9711E">
        <w:rPr>
          <w:b/>
          <w:bCs/>
          <w:color w:val="000000" w:themeColor="text1"/>
        </w:rPr>
        <w:t>Polysorbate 20 as a Food Additive</w:t>
      </w:r>
      <w:r w:rsidR="00AD51D6">
        <w:rPr>
          <w:b/>
          <w:bCs/>
          <w:color w:val="000000" w:themeColor="text1"/>
        </w:rPr>
        <w:t>) Variation</w:t>
      </w:r>
    </w:p>
    <w:p w14:paraId="7FA8204E" w14:textId="4DD92750" w:rsidR="00AD51D6" w:rsidRPr="001E3222" w:rsidRDefault="00AD51D6" w:rsidP="00AD51D6">
      <w:pPr>
        <w:numPr>
          <w:ilvl w:val="0"/>
          <w:numId w:val="6"/>
        </w:numPr>
      </w:pPr>
      <w:r w:rsidRPr="00AD51D6">
        <w:rPr>
          <w:b/>
        </w:rPr>
        <w:t>F</w:t>
      </w:r>
      <w:r>
        <w:rPr>
          <w:b/>
        </w:rPr>
        <w:t xml:space="preserve">ood Standards (Proposal P1048 </w:t>
      </w:r>
      <w:r w:rsidR="00647080" w:rsidRPr="00D42EB3">
        <w:rPr>
          <w:b/>
          <w:color w:val="000000" w:themeColor="text1"/>
        </w:rPr>
        <w:t>–</w:t>
      </w:r>
      <w:r w:rsidR="00647080">
        <w:rPr>
          <w:b/>
          <w:color w:val="000000" w:themeColor="text1"/>
        </w:rPr>
        <w:t xml:space="preserve"> Code Revision (2018)) Variation</w:t>
      </w:r>
    </w:p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6EC53D34" w14:textId="77777777" w:rsidR="00EA059A" w:rsidRDefault="00EA059A" w:rsidP="001E3222"/>
    <w:p w14:paraId="33AE048A" w14:textId="77777777" w:rsidR="00EB14B2" w:rsidRDefault="00EB14B2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779960C2" w14:textId="63DFFF70" w:rsidR="00581AD0" w:rsidRDefault="00581AD0" w:rsidP="001E3222"/>
    <w:p w14:paraId="34691EED" w14:textId="77777777" w:rsidR="00581AD0" w:rsidRDefault="00581AD0" w:rsidP="001E3222"/>
    <w:p w14:paraId="0743C4F1" w14:textId="77777777" w:rsidR="00EA059A" w:rsidRDefault="00EA059A" w:rsidP="001E3222"/>
    <w:p w14:paraId="05479DCD" w14:textId="77777777" w:rsidR="00083BC4" w:rsidRPr="009D070C" w:rsidRDefault="00083BC4" w:rsidP="001E3222">
      <w:pPr>
        <w:rPr>
          <w:sz w:val="16"/>
          <w:szCs w:val="16"/>
        </w:rPr>
      </w:pPr>
    </w:p>
    <w:p w14:paraId="3CDEC7B5" w14:textId="77777777" w:rsidR="0089474C" w:rsidRDefault="0089474C" w:rsidP="00894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49A050E2" w14:textId="77777777" w:rsidR="0089474C" w:rsidRDefault="0089474C" w:rsidP="00894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2018</w:t>
      </w:r>
    </w:p>
    <w:p w14:paraId="264BB7AF" w14:textId="77777777" w:rsidR="0089474C" w:rsidRDefault="0089474C" w:rsidP="00894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41D27649" w14:textId="77777777" w:rsidR="0089474C" w:rsidRDefault="0089474C" w:rsidP="00894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4210B3D3" w14:textId="77777777" w:rsidR="0089474C" w:rsidRDefault="0089474C" w:rsidP="00894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4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32B05A0E" w14:textId="160487A6" w:rsidR="00755015" w:rsidRDefault="00161FA0" w:rsidP="00EE616A">
      <w:pPr>
        <w:pStyle w:val="Heading2"/>
        <w:sectPr w:rsidR="00755015" w:rsidSect="00EE616A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sz w:val="16"/>
        </w:rPr>
        <w:br w:type="page"/>
      </w:r>
      <w:bookmarkStart w:id="0" w:name="_Ref330223170"/>
      <w:bookmarkStart w:id="1" w:name="_Ref331335621"/>
    </w:p>
    <w:bookmarkEnd w:id="0"/>
    <w:bookmarkEnd w:id="1"/>
    <w:p w14:paraId="1AD0CAB7" w14:textId="77777777" w:rsidR="006359D9" w:rsidRPr="00D42EB3" w:rsidRDefault="006359D9" w:rsidP="006359D9">
      <w:pPr>
        <w:rPr>
          <w:noProof/>
          <w:color w:val="000000" w:themeColor="text1"/>
          <w:lang w:val="en-AU" w:eastAsia="en-AU"/>
        </w:rPr>
      </w:pPr>
      <w:r w:rsidRPr="00D42EB3">
        <w:rPr>
          <w:noProof/>
          <w:color w:val="000000" w:themeColor="text1"/>
          <w:lang w:eastAsia="en-GB"/>
        </w:rPr>
        <w:lastRenderedPageBreak/>
        <w:drawing>
          <wp:inline distT="0" distB="0" distL="0" distR="0" wp14:anchorId="4B7C8877" wp14:editId="038C0DC8">
            <wp:extent cx="2654300" cy="438150"/>
            <wp:effectExtent l="0" t="0" r="0" b="0"/>
            <wp:docPr id="4" name="Picture 4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7B96" w14:textId="77777777" w:rsidR="006359D9" w:rsidRPr="00D42EB3" w:rsidRDefault="006359D9" w:rsidP="006359D9">
      <w:pPr>
        <w:pBdr>
          <w:bottom w:val="single" w:sz="4" w:space="1" w:color="auto"/>
        </w:pBdr>
        <w:jc w:val="center"/>
        <w:rPr>
          <w:color w:val="000000" w:themeColor="text1"/>
          <w:lang w:eastAsia="en-GB"/>
        </w:rPr>
      </w:pPr>
    </w:p>
    <w:p w14:paraId="557B10AB" w14:textId="77777777" w:rsidR="006359D9" w:rsidRPr="00D42EB3" w:rsidRDefault="006359D9" w:rsidP="006359D9">
      <w:pPr>
        <w:pBdr>
          <w:bottom w:val="single" w:sz="4" w:space="1" w:color="auto"/>
        </w:pBdr>
        <w:rPr>
          <w:b/>
          <w:color w:val="000000" w:themeColor="text1"/>
        </w:rPr>
      </w:pPr>
      <w:r w:rsidRPr="00D42EB3"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A1137</w:t>
      </w:r>
      <w:r w:rsidRPr="00D42EB3">
        <w:rPr>
          <w:b/>
          <w:color w:val="000000" w:themeColor="text1"/>
        </w:rPr>
        <w:t xml:space="preserve"> –</w:t>
      </w:r>
      <w:r w:rsidRPr="00D42EB3">
        <w:rPr>
          <w:color w:val="000000" w:themeColor="text1"/>
        </w:rPr>
        <w:t xml:space="preserve"> </w:t>
      </w:r>
      <w:r w:rsidRPr="00B9711E">
        <w:rPr>
          <w:b/>
          <w:bCs/>
          <w:color w:val="000000" w:themeColor="text1"/>
        </w:rPr>
        <w:t>Polysorbate 20 as a Food Additive</w:t>
      </w:r>
      <w:r w:rsidRPr="00D42EB3">
        <w:rPr>
          <w:rFonts w:cs="Arial"/>
          <w:b/>
          <w:color w:val="000000" w:themeColor="text1"/>
        </w:rPr>
        <w:t>)</w:t>
      </w:r>
      <w:r w:rsidRPr="00D42EB3">
        <w:rPr>
          <w:b/>
          <w:color w:val="000000" w:themeColor="text1"/>
        </w:rPr>
        <w:t xml:space="preserve"> Variation</w:t>
      </w:r>
    </w:p>
    <w:p w14:paraId="6D3B4E87" w14:textId="77777777" w:rsidR="006359D9" w:rsidRPr="00D42EB3" w:rsidRDefault="006359D9" w:rsidP="006359D9">
      <w:pPr>
        <w:pBdr>
          <w:bottom w:val="single" w:sz="4" w:space="1" w:color="auto"/>
        </w:pBdr>
        <w:rPr>
          <w:b/>
          <w:color w:val="000000" w:themeColor="text1"/>
        </w:rPr>
      </w:pPr>
    </w:p>
    <w:p w14:paraId="17408C27" w14:textId="77777777" w:rsidR="006359D9" w:rsidRPr="00D42EB3" w:rsidRDefault="006359D9" w:rsidP="006359D9">
      <w:pPr>
        <w:rPr>
          <w:color w:val="000000" w:themeColor="text1"/>
        </w:rPr>
      </w:pPr>
    </w:p>
    <w:p w14:paraId="224D786E" w14:textId="77777777" w:rsidR="006359D9" w:rsidRPr="00D42EB3" w:rsidRDefault="006359D9" w:rsidP="006359D9">
      <w:pPr>
        <w:rPr>
          <w:color w:val="000000" w:themeColor="text1"/>
        </w:rPr>
      </w:pPr>
      <w:r w:rsidRPr="00D42EB3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D42EB3">
        <w:rPr>
          <w:i/>
          <w:color w:val="000000" w:themeColor="text1"/>
        </w:rPr>
        <w:t>Food Standards Australia New Zealand Act 1991</w:t>
      </w:r>
      <w:r w:rsidRPr="00D42EB3">
        <w:rPr>
          <w:color w:val="000000" w:themeColor="text1"/>
        </w:rPr>
        <w:t>.  The variation commences on the date specified in clause 3 of the variation.</w:t>
      </w:r>
    </w:p>
    <w:p w14:paraId="1111D9A6" w14:textId="77777777" w:rsidR="006359D9" w:rsidRPr="00D42EB3" w:rsidRDefault="006359D9" w:rsidP="006359D9">
      <w:pPr>
        <w:rPr>
          <w:color w:val="000000" w:themeColor="text1"/>
        </w:rPr>
      </w:pPr>
    </w:p>
    <w:p w14:paraId="74D765EE" w14:textId="77777777" w:rsidR="006359D9" w:rsidRPr="00D42EB3" w:rsidRDefault="006359D9" w:rsidP="006359D9">
      <w:pPr>
        <w:rPr>
          <w:color w:val="000000" w:themeColor="text1"/>
        </w:rPr>
      </w:pPr>
      <w:r w:rsidRPr="00D42EB3">
        <w:rPr>
          <w:color w:val="000000" w:themeColor="text1"/>
        </w:rPr>
        <w:t xml:space="preserve">Dated </w:t>
      </w:r>
      <w:r>
        <w:rPr>
          <w:color w:val="000000" w:themeColor="text1"/>
        </w:rPr>
        <w:t>19 November 2018</w:t>
      </w:r>
    </w:p>
    <w:p w14:paraId="066E573F" w14:textId="77777777" w:rsidR="006359D9" w:rsidRPr="00D42EB3" w:rsidRDefault="006359D9" w:rsidP="006359D9">
      <w:pPr>
        <w:rPr>
          <w:color w:val="000000" w:themeColor="text1"/>
        </w:rPr>
      </w:pPr>
    </w:p>
    <w:p w14:paraId="5215C20F" w14:textId="35B22045" w:rsidR="006359D9" w:rsidRPr="00D42EB3" w:rsidRDefault="006359D9" w:rsidP="006359D9">
      <w:pPr>
        <w:rPr>
          <w:color w:val="000000" w:themeColor="text1"/>
        </w:rPr>
      </w:pPr>
      <w:r>
        <w:rPr>
          <w:noProof/>
          <w:color w:val="000000" w:themeColor="text1"/>
          <w:lang w:eastAsia="en-GB"/>
        </w:rPr>
        <w:drawing>
          <wp:inline distT="0" distB="0" distL="0" distR="0" wp14:anchorId="3A639ED3" wp14:editId="485310A3">
            <wp:extent cx="1819275" cy="1152525"/>
            <wp:effectExtent l="0" t="0" r="9525" b="9525"/>
            <wp:docPr id="5" name="Picture 5" descr="E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i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5" r="8154" b="7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9FCE" w14:textId="77777777" w:rsidR="006359D9" w:rsidRPr="00D42EB3" w:rsidRDefault="006359D9" w:rsidP="006359D9">
      <w:pPr>
        <w:rPr>
          <w:color w:val="000000" w:themeColor="text1"/>
        </w:rPr>
      </w:pPr>
      <w:r w:rsidRPr="00D42EB3">
        <w:rPr>
          <w:color w:val="000000" w:themeColor="text1"/>
        </w:rPr>
        <w:t>Standards Management Officer</w:t>
      </w:r>
    </w:p>
    <w:p w14:paraId="707959F4" w14:textId="77777777" w:rsidR="006359D9" w:rsidRPr="00D42EB3" w:rsidRDefault="006359D9" w:rsidP="006359D9">
      <w:pPr>
        <w:rPr>
          <w:color w:val="000000" w:themeColor="text1"/>
        </w:rPr>
      </w:pPr>
      <w:r w:rsidRPr="00D42EB3">
        <w:rPr>
          <w:color w:val="000000" w:themeColor="text1"/>
        </w:rPr>
        <w:t>Delegate of the Board of Food Standards Australia New Zealand</w:t>
      </w:r>
    </w:p>
    <w:p w14:paraId="7A7CE7B7" w14:textId="77777777" w:rsidR="006359D9" w:rsidRPr="00D42EB3" w:rsidRDefault="006359D9" w:rsidP="006359D9">
      <w:pPr>
        <w:rPr>
          <w:color w:val="000000" w:themeColor="text1"/>
        </w:rPr>
      </w:pPr>
    </w:p>
    <w:p w14:paraId="24D23DE9" w14:textId="77777777" w:rsidR="006359D9" w:rsidRPr="00D42EB3" w:rsidRDefault="006359D9" w:rsidP="006359D9"/>
    <w:p w14:paraId="309DD2CF" w14:textId="77777777" w:rsidR="006359D9" w:rsidRPr="00D42EB3" w:rsidRDefault="006359D9" w:rsidP="006359D9"/>
    <w:p w14:paraId="31AD2DC3" w14:textId="77777777" w:rsidR="006359D9" w:rsidRPr="00D42EB3" w:rsidRDefault="006359D9" w:rsidP="006359D9"/>
    <w:p w14:paraId="5BC14E28" w14:textId="77777777" w:rsidR="006359D9" w:rsidRPr="00D42EB3" w:rsidRDefault="006359D9" w:rsidP="006359D9"/>
    <w:p w14:paraId="21E036D7" w14:textId="77777777" w:rsidR="006359D9" w:rsidRPr="00D42EB3" w:rsidRDefault="006359D9" w:rsidP="006359D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D42EB3">
        <w:rPr>
          <w:b/>
          <w:lang w:val="en-AU"/>
        </w:rPr>
        <w:t xml:space="preserve">Note:  </w:t>
      </w:r>
    </w:p>
    <w:p w14:paraId="31A49592" w14:textId="77777777" w:rsidR="006359D9" w:rsidRPr="00D42EB3" w:rsidRDefault="006359D9" w:rsidP="006359D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120AD61D" w14:textId="77777777" w:rsidR="006359D9" w:rsidRPr="00D42EB3" w:rsidRDefault="006359D9" w:rsidP="006359D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D42EB3">
        <w:rPr>
          <w:lang w:val="en-AU"/>
        </w:rPr>
        <w:t xml:space="preserve">This variation will be published in the Commonwealth of Australia Gazette No. FSC </w:t>
      </w:r>
      <w:r w:rsidRPr="004416A6">
        <w:rPr>
          <w:lang w:val="en-AU"/>
        </w:rPr>
        <w:t xml:space="preserve">123 on 29 November 2018. </w:t>
      </w:r>
      <w:r w:rsidRPr="00D42EB3">
        <w:rPr>
          <w:lang w:val="en-AU"/>
        </w:rPr>
        <w:t>This means that this date is the gazettal date for the purposes of the above notice.</w:t>
      </w:r>
    </w:p>
    <w:p w14:paraId="44C4C25E" w14:textId="77777777" w:rsidR="006359D9" w:rsidRPr="00D42EB3" w:rsidRDefault="006359D9" w:rsidP="006359D9"/>
    <w:p w14:paraId="4B6173F4" w14:textId="77777777" w:rsidR="006359D9" w:rsidRPr="00D42EB3" w:rsidRDefault="006359D9" w:rsidP="006359D9">
      <w:r w:rsidRPr="00D42EB3">
        <w:br w:type="page"/>
      </w:r>
    </w:p>
    <w:p w14:paraId="74AA2F61" w14:textId="77777777" w:rsidR="006359D9" w:rsidRPr="00D42EB3" w:rsidRDefault="006359D9" w:rsidP="006359D9">
      <w:pPr>
        <w:spacing w:before="120" w:after="120"/>
        <w:ind w:left="851" w:hanging="851"/>
        <w:rPr>
          <w:b/>
        </w:rPr>
      </w:pPr>
      <w:bookmarkStart w:id="2" w:name="_Toc414880389"/>
      <w:bookmarkStart w:id="3" w:name="_Toc420055543"/>
      <w:bookmarkStart w:id="4" w:name="_Toc430770446"/>
      <w:r w:rsidRPr="00D42EB3">
        <w:rPr>
          <w:b/>
        </w:rPr>
        <w:lastRenderedPageBreak/>
        <w:t>1</w:t>
      </w:r>
      <w:r w:rsidRPr="00D42EB3">
        <w:rPr>
          <w:b/>
        </w:rPr>
        <w:tab/>
        <w:t>Name</w:t>
      </w:r>
    </w:p>
    <w:p w14:paraId="3FE890FA" w14:textId="77777777" w:rsidR="006359D9" w:rsidRPr="00D42EB3" w:rsidRDefault="006359D9" w:rsidP="006359D9">
      <w:pPr>
        <w:spacing w:before="120" w:after="120"/>
      </w:pPr>
      <w:r w:rsidRPr="00D42EB3">
        <w:t xml:space="preserve">This instrument is the </w:t>
      </w:r>
      <w:r w:rsidRPr="00D42EB3">
        <w:rPr>
          <w:i/>
        </w:rPr>
        <w:t>F</w:t>
      </w:r>
      <w:r>
        <w:rPr>
          <w:i/>
        </w:rPr>
        <w:t>ood Standards (Application A1137</w:t>
      </w:r>
      <w:r w:rsidRPr="00D42EB3">
        <w:rPr>
          <w:i/>
        </w:rPr>
        <w:t xml:space="preserve"> – </w:t>
      </w:r>
      <w:r w:rsidRPr="00B9711E">
        <w:rPr>
          <w:i/>
        </w:rPr>
        <w:t>Polysorbate 20 as a Food Additive</w:t>
      </w:r>
      <w:r w:rsidRPr="00D42EB3">
        <w:rPr>
          <w:i/>
        </w:rPr>
        <w:t>) Variation</w:t>
      </w:r>
      <w:r w:rsidRPr="00D42EB3">
        <w:t>.</w:t>
      </w:r>
    </w:p>
    <w:p w14:paraId="580EA0A8" w14:textId="77777777" w:rsidR="006359D9" w:rsidRPr="00D42EB3" w:rsidRDefault="006359D9" w:rsidP="006359D9">
      <w:pPr>
        <w:spacing w:before="120" w:after="120"/>
        <w:ind w:left="851" w:hanging="851"/>
        <w:rPr>
          <w:b/>
        </w:rPr>
      </w:pPr>
      <w:r w:rsidRPr="00D42EB3">
        <w:rPr>
          <w:b/>
        </w:rPr>
        <w:t>2</w:t>
      </w:r>
      <w:r w:rsidRPr="00D42EB3">
        <w:rPr>
          <w:b/>
        </w:rPr>
        <w:tab/>
        <w:t xml:space="preserve">Variation to a Standard in the </w:t>
      </w:r>
      <w:r w:rsidRPr="00D42EB3">
        <w:rPr>
          <w:b/>
          <w:i/>
        </w:rPr>
        <w:t>Australia New Zealand Food Standards Code</w:t>
      </w:r>
    </w:p>
    <w:p w14:paraId="44364511" w14:textId="77777777" w:rsidR="006359D9" w:rsidRPr="00D42EB3" w:rsidRDefault="006359D9" w:rsidP="006359D9">
      <w:pPr>
        <w:spacing w:before="120" w:after="120"/>
      </w:pPr>
      <w:r w:rsidRPr="00D42EB3">
        <w:t xml:space="preserve">The Schedule varies a standard in the </w:t>
      </w:r>
      <w:r w:rsidRPr="00D42EB3">
        <w:rPr>
          <w:i/>
        </w:rPr>
        <w:t>Australia New Zealand Food Standards Code</w:t>
      </w:r>
      <w:r w:rsidRPr="00D42EB3">
        <w:t>.</w:t>
      </w:r>
    </w:p>
    <w:p w14:paraId="71047690" w14:textId="77777777" w:rsidR="006359D9" w:rsidRPr="00D42EB3" w:rsidRDefault="006359D9" w:rsidP="006359D9">
      <w:pPr>
        <w:spacing w:before="120" w:after="120"/>
        <w:ind w:left="851" w:hanging="851"/>
        <w:rPr>
          <w:b/>
        </w:rPr>
      </w:pPr>
      <w:r w:rsidRPr="00D42EB3">
        <w:rPr>
          <w:b/>
        </w:rPr>
        <w:t>3</w:t>
      </w:r>
      <w:r w:rsidRPr="00D42EB3">
        <w:rPr>
          <w:b/>
        </w:rPr>
        <w:tab/>
        <w:t>Commencement</w:t>
      </w:r>
    </w:p>
    <w:p w14:paraId="534566E6" w14:textId="77777777" w:rsidR="006359D9" w:rsidRPr="00D42EB3" w:rsidRDefault="006359D9" w:rsidP="006359D9">
      <w:pPr>
        <w:spacing w:before="120" w:after="120"/>
      </w:pPr>
      <w:r w:rsidRPr="00D42EB3">
        <w:t>The variation commences on the date of gazettal.</w:t>
      </w:r>
      <w:r>
        <w:br/>
      </w:r>
    </w:p>
    <w:p w14:paraId="288977AC" w14:textId="77777777" w:rsidR="006359D9" w:rsidRPr="00D42EB3" w:rsidRDefault="006359D9" w:rsidP="006359D9">
      <w:pPr>
        <w:spacing w:before="120" w:after="120"/>
        <w:ind w:left="851" w:hanging="851"/>
        <w:jc w:val="center"/>
        <w:rPr>
          <w:b/>
        </w:rPr>
      </w:pPr>
      <w:r w:rsidRPr="00D42EB3">
        <w:rPr>
          <w:b/>
        </w:rPr>
        <w:t>Schedule</w:t>
      </w:r>
    </w:p>
    <w:p w14:paraId="3CC0CD76" w14:textId="77777777" w:rsidR="006359D9" w:rsidRPr="00D42EB3" w:rsidRDefault="006359D9" w:rsidP="006359D9">
      <w:pPr>
        <w:spacing w:before="120" w:after="120"/>
        <w:ind w:left="851" w:hanging="851"/>
      </w:pPr>
      <w:r>
        <w:rPr>
          <w:b/>
        </w:rPr>
        <w:t>[1]</w:t>
      </w:r>
      <w:r>
        <w:rPr>
          <w:b/>
        </w:rPr>
        <w:tab/>
        <w:t>Schedule 8</w:t>
      </w:r>
      <w:r w:rsidRPr="00D42EB3">
        <w:rPr>
          <w:b/>
        </w:rPr>
        <w:t xml:space="preserve"> </w:t>
      </w:r>
      <w:r w:rsidRPr="00D42EB3">
        <w:t xml:space="preserve">is varied by </w:t>
      </w:r>
    </w:p>
    <w:p w14:paraId="4B9708C0" w14:textId="77777777" w:rsidR="006359D9" w:rsidRPr="00D42EB3" w:rsidRDefault="006359D9" w:rsidP="006359D9">
      <w:pPr>
        <w:tabs>
          <w:tab w:val="left" w:pos="1701"/>
        </w:tabs>
        <w:spacing w:before="60" w:after="60"/>
        <w:rPr>
          <w:rFonts w:cs="Arial"/>
          <w:iCs/>
          <w:lang w:eastAsia="en-AU"/>
        </w:rPr>
      </w:pPr>
    </w:p>
    <w:p w14:paraId="7C378244" w14:textId="77777777" w:rsidR="006359D9" w:rsidRDefault="006359D9" w:rsidP="006359D9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[1</w:t>
      </w:r>
      <w:r w:rsidRPr="00964ECB">
        <w:rPr>
          <w:rFonts w:cs="Arial"/>
          <w:b/>
          <w:iCs/>
          <w:lang w:eastAsia="en-AU"/>
        </w:rPr>
        <w:t>.1]</w:t>
      </w:r>
      <w:r w:rsidRPr="00964ECB">
        <w:rPr>
          <w:rFonts w:cs="Arial"/>
          <w:b/>
          <w:iCs/>
          <w:lang w:eastAsia="en-AU"/>
        </w:rPr>
        <w:tab/>
      </w:r>
      <w:r w:rsidRPr="00964ECB">
        <w:rPr>
          <w:rFonts w:cs="Arial"/>
          <w:iCs/>
          <w:lang w:eastAsia="en-AU"/>
        </w:rPr>
        <w:t>omitting</w:t>
      </w:r>
      <w:r>
        <w:rPr>
          <w:rFonts w:cs="Arial"/>
          <w:iCs/>
          <w:lang w:eastAsia="en-AU"/>
        </w:rPr>
        <w:t xml:space="preserve"> the following from </w:t>
      </w:r>
      <w:r w:rsidRPr="00964ECB">
        <w:rPr>
          <w:rFonts w:cs="Arial"/>
          <w:iCs/>
          <w:lang w:eastAsia="en-AU"/>
        </w:rPr>
        <w:t xml:space="preserve">the </w:t>
      </w:r>
      <w:r>
        <w:rPr>
          <w:rFonts w:cs="Arial"/>
          <w:iCs/>
          <w:lang w:eastAsia="en-AU"/>
        </w:rPr>
        <w:t>table to section S8—2</w:t>
      </w:r>
      <w:r w:rsidRPr="00964ECB">
        <w:rPr>
          <w:rFonts w:cs="Arial"/>
          <w:iCs/>
          <w:lang w:eastAsia="en-AU"/>
        </w:rPr>
        <w:t>,</w:t>
      </w:r>
    </w:p>
    <w:p w14:paraId="788D66B5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2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6359D9" w:rsidRPr="00FC3654" w14:paraId="5F455089" w14:textId="77777777" w:rsidTr="0087393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3AA1F45" w14:textId="77777777" w:rsidR="006359D9" w:rsidRPr="00FC3654" w:rsidRDefault="006359D9" w:rsidP="00873935">
            <w:pPr>
              <w:pStyle w:val="FSCtblMain"/>
            </w:pPr>
            <w:r w:rsidRPr="00FC3654">
              <w:t>Polyoxyethylene (40) stearate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E7B1A" w14:textId="77777777" w:rsidR="006359D9" w:rsidRPr="00FC3654" w:rsidRDefault="006359D9" w:rsidP="00873935">
            <w:pPr>
              <w:pStyle w:val="FSCtblMain"/>
            </w:pPr>
            <w:r w:rsidRPr="00FC3654">
              <w:t>431</w:t>
            </w:r>
          </w:p>
        </w:tc>
      </w:tr>
    </w:tbl>
    <w:p w14:paraId="012F8B8A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iCs/>
          <w:lang w:eastAsia="en-AU"/>
        </w:rPr>
        <w:br/>
      </w:r>
      <w:r w:rsidRPr="00964ECB">
        <w:rPr>
          <w:rFonts w:cs="Arial"/>
          <w:iCs/>
          <w:lang w:eastAsia="en-AU"/>
        </w:rPr>
        <w:t>substituting</w:t>
      </w:r>
    </w:p>
    <w:p w14:paraId="1808D29A" w14:textId="77777777" w:rsidR="006359D9" w:rsidRDefault="006359D9" w:rsidP="006359D9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3"/>
        <w:tblW w:w="4422" w:type="dxa"/>
        <w:tblInd w:w="-108" w:type="dxa"/>
        <w:tblLook w:val="04A0" w:firstRow="1" w:lastRow="0" w:firstColumn="1" w:lastColumn="0" w:noHBand="0" w:noVBand="1"/>
      </w:tblPr>
      <w:tblGrid>
        <w:gridCol w:w="3402"/>
        <w:gridCol w:w="1020"/>
      </w:tblGrid>
      <w:tr w:rsidR="006359D9" w:rsidRPr="00FC3654" w14:paraId="476224E1" w14:textId="77777777" w:rsidTr="0087393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840A88" w14:textId="77777777" w:rsidR="006359D9" w:rsidRPr="00FC3654" w:rsidRDefault="006359D9" w:rsidP="00873935">
            <w:pPr>
              <w:pStyle w:val="FSCtblMain"/>
            </w:pPr>
            <w:r w:rsidRPr="00FC3654">
              <w:t>Polyoxyethylene (40) stearate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4C54E" w14:textId="77777777" w:rsidR="006359D9" w:rsidRPr="00FC3654" w:rsidRDefault="006359D9" w:rsidP="00873935">
            <w:pPr>
              <w:pStyle w:val="FSCtblMain"/>
            </w:pPr>
            <w:r w:rsidRPr="00FC3654">
              <w:t>431</w:t>
            </w:r>
          </w:p>
        </w:tc>
      </w:tr>
      <w:tr w:rsidR="006359D9" w:rsidRPr="00FC3654" w14:paraId="04A7B2B0" w14:textId="77777777" w:rsidTr="0087393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2D9E50" w14:textId="77777777" w:rsidR="006359D9" w:rsidRPr="00FC3654" w:rsidRDefault="006359D9" w:rsidP="00873935">
            <w:pPr>
              <w:pStyle w:val="FSCtblMain"/>
            </w:pPr>
            <w:r w:rsidRPr="00FC3654">
              <w:t xml:space="preserve">Polysorbate </w:t>
            </w:r>
            <w:r>
              <w:t>20</w:t>
            </w:r>
            <w:r w:rsidRPr="00FC3654">
              <w:t xml:space="preserve"> or Polyoxy</w:t>
            </w:r>
            <w:r>
              <w:t xml:space="preserve">ethylene (20)     sorbitan </w:t>
            </w:r>
            <w:r w:rsidRPr="00964ECB">
              <w:t>monolaurate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1F1CFB" w14:textId="77777777" w:rsidR="006359D9" w:rsidRPr="00FC3654" w:rsidRDefault="006359D9" w:rsidP="00873935">
            <w:pPr>
              <w:pStyle w:val="FSCtblMain"/>
            </w:pPr>
            <w:r>
              <w:t>432</w:t>
            </w:r>
          </w:p>
        </w:tc>
      </w:tr>
    </w:tbl>
    <w:p w14:paraId="307EB3D3" w14:textId="77777777" w:rsidR="006359D9" w:rsidRPr="00964ECB" w:rsidRDefault="006359D9" w:rsidP="006359D9"/>
    <w:p w14:paraId="07C56DBD" w14:textId="77777777" w:rsidR="006359D9" w:rsidRDefault="006359D9" w:rsidP="006359D9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[1</w:t>
      </w:r>
      <w:r w:rsidRPr="00964ECB">
        <w:rPr>
          <w:rFonts w:cs="Arial"/>
          <w:b/>
          <w:iCs/>
          <w:lang w:eastAsia="en-AU"/>
        </w:rPr>
        <w:t>.2]</w:t>
      </w:r>
      <w:r w:rsidRPr="00964ECB">
        <w:rPr>
          <w:rFonts w:cs="Arial"/>
          <w:b/>
          <w:iCs/>
          <w:lang w:eastAsia="en-AU"/>
        </w:rPr>
        <w:tab/>
      </w:r>
      <w:r w:rsidRPr="00964ECB">
        <w:rPr>
          <w:rFonts w:cs="Arial"/>
          <w:iCs/>
          <w:lang w:eastAsia="en-AU"/>
        </w:rPr>
        <w:t xml:space="preserve">omitting the </w:t>
      </w:r>
      <w:r>
        <w:rPr>
          <w:rFonts w:cs="Arial"/>
          <w:iCs/>
          <w:lang w:eastAsia="en-AU"/>
        </w:rPr>
        <w:t xml:space="preserve">following from </w:t>
      </w:r>
      <w:r w:rsidRPr="00964ECB">
        <w:rPr>
          <w:rFonts w:cs="Arial"/>
          <w:iCs/>
          <w:lang w:eastAsia="en-AU"/>
        </w:rPr>
        <w:t xml:space="preserve">the </w:t>
      </w:r>
      <w:r>
        <w:rPr>
          <w:rFonts w:cs="Arial"/>
          <w:iCs/>
          <w:lang w:eastAsia="en-AU"/>
        </w:rPr>
        <w:t>table to section S8—2,</w:t>
      </w:r>
    </w:p>
    <w:p w14:paraId="3C0F9519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6359D9" w:rsidRPr="00FC3654" w14:paraId="4AB5B41D" w14:textId="77777777" w:rsidTr="00873935">
        <w:trPr>
          <w:cantSplit/>
        </w:trPr>
        <w:tc>
          <w:tcPr>
            <w:tcW w:w="1020" w:type="dxa"/>
          </w:tcPr>
          <w:p w14:paraId="3CD7A4B8" w14:textId="77777777" w:rsidR="006359D9" w:rsidRPr="00FC3654" w:rsidRDefault="006359D9" w:rsidP="00873935">
            <w:pPr>
              <w:pStyle w:val="FSCtblMain"/>
            </w:pPr>
            <w:r w:rsidRPr="00FC3654">
              <w:t>431</w:t>
            </w:r>
          </w:p>
        </w:tc>
        <w:tc>
          <w:tcPr>
            <w:tcW w:w="3402" w:type="dxa"/>
          </w:tcPr>
          <w:p w14:paraId="37D6E902" w14:textId="77777777" w:rsidR="006359D9" w:rsidRPr="00FC3654" w:rsidRDefault="006359D9" w:rsidP="00873935">
            <w:pPr>
              <w:pStyle w:val="FSCtblMain"/>
            </w:pPr>
            <w:r w:rsidRPr="00FC3654">
              <w:t>Polyoxyethylene (40) stearate</w:t>
            </w:r>
          </w:p>
        </w:tc>
      </w:tr>
    </w:tbl>
    <w:p w14:paraId="37CB93D4" w14:textId="77777777" w:rsidR="006359D9" w:rsidRDefault="006359D9" w:rsidP="006359D9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iCs/>
          <w:lang w:eastAsia="en-AU"/>
        </w:rPr>
        <w:br/>
      </w:r>
      <w:r w:rsidRPr="00964ECB">
        <w:rPr>
          <w:rFonts w:cs="Arial"/>
          <w:iCs/>
          <w:lang w:eastAsia="en-AU"/>
        </w:rPr>
        <w:t>substituting</w:t>
      </w:r>
      <w:r w:rsidRPr="00964ECB">
        <w:rPr>
          <w:rFonts w:cs="Arial"/>
          <w:iCs/>
          <w:lang w:eastAsia="en-AU"/>
        </w:rPr>
        <w:br/>
      </w:r>
    </w:p>
    <w:tbl>
      <w:tblPr>
        <w:tblStyle w:val="TableGrid4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402"/>
      </w:tblGrid>
      <w:tr w:rsidR="006359D9" w:rsidRPr="00FC3654" w14:paraId="7B9F8494" w14:textId="77777777" w:rsidTr="00873935">
        <w:trPr>
          <w:cantSplit/>
        </w:trPr>
        <w:tc>
          <w:tcPr>
            <w:tcW w:w="1020" w:type="dxa"/>
          </w:tcPr>
          <w:p w14:paraId="17F2F6F2" w14:textId="77777777" w:rsidR="006359D9" w:rsidRPr="00FC3654" w:rsidRDefault="006359D9" w:rsidP="00873935">
            <w:pPr>
              <w:pStyle w:val="FSCtblMain"/>
            </w:pPr>
            <w:r w:rsidRPr="00FC3654">
              <w:t>431</w:t>
            </w:r>
          </w:p>
        </w:tc>
        <w:tc>
          <w:tcPr>
            <w:tcW w:w="3402" w:type="dxa"/>
          </w:tcPr>
          <w:p w14:paraId="5EF86DF7" w14:textId="77777777" w:rsidR="006359D9" w:rsidRPr="00FC3654" w:rsidRDefault="006359D9" w:rsidP="00873935">
            <w:pPr>
              <w:pStyle w:val="FSCtblMain"/>
            </w:pPr>
            <w:r w:rsidRPr="00FC3654">
              <w:t>Polyoxyethylene (40) stearate</w:t>
            </w:r>
          </w:p>
        </w:tc>
      </w:tr>
      <w:tr w:rsidR="006359D9" w:rsidRPr="00FC3654" w14:paraId="5004123D" w14:textId="77777777" w:rsidTr="00873935">
        <w:trPr>
          <w:cantSplit/>
        </w:trPr>
        <w:tc>
          <w:tcPr>
            <w:tcW w:w="1020" w:type="dxa"/>
          </w:tcPr>
          <w:p w14:paraId="31AE1887" w14:textId="77777777" w:rsidR="006359D9" w:rsidRPr="00FC3654" w:rsidRDefault="006359D9" w:rsidP="00873935">
            <w:pPr>
              <w:pStyle w:val="FSCtblMain"/>
            </w:pPr>
            <w:r>
              <w:t>432</w:t>
            </w:r>
          </w:p>
        </w:tc>
        <w:tc>
          <w:tcPr>
            <w:tcW w:w="3402" w:type="dxa"/>
          </w:tcPr>
          <w:p w14:paraId="7EEFC922" w14:textId="77777777" w:rsidR="006359D9" w:rsidRPr="00FC3654" w:rsidRDefault="006359D9" w:rsidP="00873935">
            <w:pPr>
              <w:pStyle w:val="FSCtblMain"/>
            </w:pPr>
            <w:r w:rsidRPr="00FC3654">
              <w:t xml:space="preserve">Polysorbate </w:t>
            </w:r>
            <w:r>
              <w:t>20</w:t>
            </w:r>
            <w:r w:rsidRPr="00FC3654">
              <w:t xml:space="preserve"> or Pol</w:t>
            </w:r>
            <w:r>
              <w:t xml:space="preserve">yoxyethylene (20) sorbitan </w:t>
            </w:r>
            <w:r w:rsidRPr="00964ECB">
              <w:t>monolaurate</w:t>
            </w:r>
          </w:p>
        </w:tc>
      </w:tr>
    </w:tbl>
    <w:p w14:paraId="473C95C9" w14:textId="77777777" w:rsidR="006359D9" w:rsidRPr="00FC5ED1" w:rsidRDefault="006359D9" w:rsidP="006359D9">
      <w:pPr>
        <w:spacing w:before="60" w:after="60"/>
        <w:rPr>
          <w:rFonts w:cs="Arial"/>
          <w:iCs/>
          <w:lang w:eastAsia="en-AU"/>
        </w:rPr>
      </w:pPr>
    </w:p>
    <w:p w14:paraId="7A4B21DF" w14:textId="77777777" w:rsidR="006359D9" w:rsidRPr="00D42EB3" w:rsidRDefault="006359D9" w:rsidP="006359D9">
      <w:pPr>
        <w:spacing w:before="120" w:after="120"/>
        <w:ind w:left="851" w:hanging="851"/>
      </w:pPr>
      <w:r>
        <w:rPr>
          <w:b/>
        </w:rPr>
        <w:t>[2]</w:t>
      </w:r>
      <w:r>
        <w:rPr>
          <w:b/>
        </w:rPr>
        <w:tab/>
        <w:t>Schedule 15</w:t>
      </w:r>
      <w:r w:rsidRPr="00D42EB3">
        <w:rPr>
          <w:b/>
        </w:rPr>
        <w:t xml:space="preserve"> </w:t>
      </w:r>
      <w:r w:rsidRPr="00D42EB3">
        <w:t xml:space="preserve">is varied by </w:t>
      </w:r>
    </w:p>
    <w:p w14:paraId="2F5F70C2" w14:textId="77777777" w:rsidR="006359D9" w:rsidRPr="00D42EB3" w:rsidRDefault="006359D9" w:rsidP="006359D9">
      <w:pPr>
        <w:tabs>
          <w:tab w:val="left" w:pos="1701"/>
        </w:tabs>
        <w:spacing w:before="60" w:after="60"/>
        <w:rPr>
          <w:rFonts w:cs="Arial"/>
          <w:iCs/>
          <w:lang w:eastAsia="en-AU"/>
        </w:rPr>
      </w:pPr>
    </w:p>
    <w:bookmarkEnd w:id="2"/>
    <w:bookmarkEnd w:id="3"/>
    <w:bookmarkEnd w:id="4"/>
    <w:p w14:paraId="7B7588FB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[2</w:t>
      </w:r>
      <w:r w:rsidRPr="00964ECB">
        <w:rPr>
          <w:rFonts w:cs="Arial"/>
          <w:b/>
          <w:iCs/>
          <w:lang w:eastAsia="en-AU"/>
        </w:rPr>
        <w:t>.1]</w:t>
      </w:r>
      <w:r w:rsidRPr="00964ECB">
        <w:rPr>
          <w:rFonts w:cs="Arial"/>
          <w:b/>
          <w:iCs/>
          <w:lang w:eastAsia="en-AU"/>
        </w:rPr>
        <w:tab/>
      </w:r>
      <w:r w:rsidRPr="00964ECB">
        <w:rPr>
          <w:rFonts w:cs="Arial"/>
          <w:iCs/>
          <w:lang w:eastAsia="en-AU"/>
        </w:rPr>
        <w:t>omitting the following from item 8.2 of the table to section S15—5,</w:t>
      </w:r>
    </w:p>
    <w:p w14:paraId="67150276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359D9" w:rsidRPr="00964ECB" w14:paraId="007F542E" w14:textId="77777777" w:rsidTr="00873935">
        <w:trPr>
          <w:cantSplit/>
        </w:trPr>
        <w:tc>
          <w:tcPr>
            <w:tcW w:w="1668" w:type="dxa"/>
          </w:tcPr>
          <w:p w14:paraId="2C0C5DAF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280 281 282 283</w:t>
            </w:r>
          </w:p>
        </w:tc>
        <w:tc>
          <w:tcPr>
            <w:tcW w:w="4252" w:type="dxa"/>
          </w:tcPr>
          <w:p w14:paraId="7172BCDE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Propionic acid and sodium and potassium and calcium propionates</w:t>
            </w:r>
          </w:p>
        </w:tc>
        <w:tc>
          <w:tcPr>
            <w:tcW w:w="992" w:type="dxa"/>
          </w:tcPr>
          <w:p w14:paraId="59C476A0" w14:textId="77777777" w:rsidR="006359D9" w:rsidRPr="00964ECB" w:rsidRDefault="006359D9" w:rsidP="00873935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GMP</w:t>
            </w:r>
          </w:p>
        </w:tc>
        <w:tc>
          <w:tcPr>
            <w:tcW w:w="2160" w:type="dxa"/>
          </w:tcPr>
          <w:p w14:paraId="6107BA34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2FCD22C8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  <w:r w:rsidRPr="00964ECB">
        <w:rPr>
          <w:rFonts w:cs="Arial"/>
          <w:iCs/>
          <w:lang w:eastAsia="en-AU"/>
        </w:rPr>
        <w:t>substituting</w:t>
      </w:r>
    </w:p>
    <w:p w14:paraId="6BBC23BA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359D9" w:rsidRPr="00964ECB" w14:paraId="703771F8" w14:textId="77777777" w:rsidTr="0087393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BB39071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280 281 282 283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2B916A5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Propionic acid and sodium and potassium and calcium propionates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A67862" w14:textId="77777777" w:rsidR="006359D9" w:rsidRPr="00964ECB" w:rsidRDefault="006359D9" w:rsidP="00873935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GMP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65032B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</w:p>
        </w:tc>
      </w:tr>
      <w:tr w:rsidR="006359D9" w:rsidRPr="00964ECB" w14:paraId="5D212E15" w14:textId="77777777" w:rsidTr="00873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68" w:type="dxa"/>
          </w:tcPr>
          <w:p w14:paraId="1A1C1FC5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432</w:t>
            </w:r>
          </w:p>
        </w:tc>
        <w:tc>
          <w:tcPr>
            <w:tcW w:w="4252" w:type="dxa"/>
          </w:tcPr>
          <w:p w14:paraId="43FB98F7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 xml:space="preserve">Polyoxyethylene </w:t>
            </w:r>
            <w:r>
              <w:rPr>
                <w:sz w:val="18"/>
              </w:rPr>
              <w:t xml:space="preserve">(20) </w:t>
            </w:r>
            <w:r w:rsidRPr="00964ECB">
              <w:rPr>
                <w:sz w:val="18"/>
              </w:rPr>
              <w:t>sorbitan monolaurate</w:t>
            </w:r>
          </w:p>
        </w:tc>
        <w:tc>
          <w:tcPr>
            <w:tcW w:w="992" w:type="dxa"/>
          </w:tcPr>
          <w:p w14:paraId="262811C0" w14:textId="77777777" w:rsidR="006359D9" w:rsidRPr="00964ECB" w:rsidRDefault="006359D9" w:rsidP="00873935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500</w:t>
            </w:r>
          </w:p>
        </w:tc>
        <w:tc>
          <w:tcPr>
            <w:tcW w:w="2160" w:type="dxa"/>
          </w:tcPr>
          <w:p w14:paraId="6A3DBA4E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5CF1BD1C" w14:textId="77777777" w:rsidR="006359D9" w:rsidRPr="00964ECB" w:rsidRDefault="006359D9" w:rsidP="006359D9"/>
    <w:p w14:paraId="40F0C113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t>[2</w:t>
      </w:r>
      <w:r w:rsidRPr="00964ECB">
        <w:rPr>
          <w:rFonts w:cs="Arial"/>
          <w:b/>
          <w:iCs/>
          <w:lang w:eastAsia="en-AU"/>
        </w:rPr>
        <w:t>.2]</w:t>
      </w:r>
      <w:r w:rsidRPr="00964ECB">
        <w:rPr>
          <w:rFonts w:cs="Arial"/>
          <w:b/>
          <w:iCs/>
          <w:lang w:eastAsia="en-AU"/>
        </w:rPr>
        <w:tab/>
      </w:r>
      <w:r w:rsidRPr="00964ECB">
        <w:rPr>
          <w:rFonts w:cs="Arial"/>
          <w:iCs/>
          <w:lang w:eastAsia="en-AU"/>
        </w:rPr>
        <w:t xml:space="preserve">omitting the following from item 8.3 of the table to section S15—5, </w:t>
      </w:r>
    </w:p>
    <w:p w14:paraId="6F2BD0F0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359D9" w:rsidRPr="00964ECB" w14:paraId="61E208B3" w14:textId="77777777" w:rsidTr="00873935">
        <w:trPr>
          <w:cantSplit/>
        </w:trPr>
        <w:tc>
          <w:tcPr>
            <w:tcW w:w="1668" w:type="dxa"/>
          </w:tcPr>
          <w:p w14:paraId="7EFB7B9F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280 281 282 283</w:t>
            </w:r>
          </w:p>
        </w:tc>
        <w:tc>
          <w:tcPr>
            <w:tcW w:w="4252" w:type="dxa"/>
          </w:tcPr>
          <w:p w14:paraId="10C28D75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Propionic acid and sodium and potassium and calcium propionates</w:t>
            </w:r>
          </w:p>
        </w:tc>
        <w:tc>
          <w:tcPr>
            <w:tcW w:w="992" w:type="dxa"/>
          </w:tcPr>
          <w:p w14:paraId="12B97D60" w14:textId="77777777" w:rsidR="006359D9" w:rsidRPr="00964ECB" w:rsidRDefault="006359D9" w:rsidP="00873935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GMP</w:t>
            </w:r>
          </w:p>
        </w:tc>
        <w:tc>
          <w:tcPr>
            <w:tcW w:w="2160" w:type="dxa"/>
          </w:tcPr>
          <w:p w14:paraId="710B845E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3774B34A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  <w:r w:rsidRPr="00964ECB">
        <w:rPr>
          <w:rFonts w:cs="Arial"/>
          <w:iCs/>
          <w:lang w:eastAsia="en-AU"/>
        </w:rPr>
        <w:t>substituting</w:t>
      </w:r>
      <w:r w:rsidRPr="00964ECB">
        <w:rPr>
          <w:rFonts w:cs="Arial"/>
          <w:iCs/>
          <w:lang w:eastAsia="en-AU"/>
        </w:rPr>
        <w:br/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359D9" w:rsidRPr="00964ECB" w14:paraId="30AEEA8B" w14:textId="77777777" w:rsidTr="0087393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30EE5D1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280 281 282 283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D9344CA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Propionic acid and sodium and potassium and calcium propionates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C2C642" w14:textId="77777777" w:rsidR="006359D9" w:rsidRPr="00964ECB" w:rsidRDefault="006359D9" w:rsidP="00873935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GMP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3CB9C1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</w:p>
        </w:tc>
      </w:tr>
      <w:tr w:rsidR="006359D9" w:rsidRPr="00964ECB" w14:paraId="06023C63" w14:textId="77777777" w:rsidTr="00873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68" w:type="dxa"/>
          </w:tcPr>
          <w:p w14:paraId="4168B0A3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432</w:t>
            </w:r>
          </w:p>
        </w:tc>
        <w:tc>
          <w:tcPr>
            <w:tcW w:w="4252" w:type="dxa"/>
          </w:tcPr>
          <w:p w14:paraId="684D2465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 xml:space="preserve">Polyoxyethylene </w:t>
            </w:r>
            <w:r>
              <w:rPr>
                <w:sz w:val="18"/>
              </w:rPr>
              <w:t xml:space="preserve">(20) </w:t>
            </w:r>
            <w:r w:rsidRPr="00964ECB">
              <w:rPr>
                <w:sz w:val="18"/>
              </w:rPr>
              <w:t>sorbitan monolaurate</w:t>
            </w:r>
          </w:p>
        </w:tc>
        <w:tc>
          <w:tcPr>
            <w:tcW w:w="992" w:type="dxa"/>
          </w:tcPr>
          <w:p w14:paraId="727A25F5" w14:textId="77777777" w:rsidR="006359D9" w:rsidRPr="00964ECB" w:rsidRDefault="006359D9" w:rsidP="00873935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500</w:t>
            </w:r>
          </w:p>
        </w:tc>
        <w:tc>
          <w:tcPr>
            <w:tcW w:w="2160" w:type="dxa"/>
          </w:tcPr>
          <w:p w14:paraId="530F1E17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1ED36840" w14:textId="77777777" w:rsidR="006359D9" w:rsidRPr="00964ECB" w:rsidRDefault="006359D9" w:rsidP="006359D9"/>
    <w:p w14:paraId="2F532143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  <w:r>
        <w:rPr>
          <w:rFonts w:cs="Arial"/>
          <w:b/>
          <w:iCs/>
          <w:lang w:eastAsia="en-AU"/>
        </w:rPr>
        <w:lastRenderedPageBreak/>
        <w:t>[2</w:t>
      </w:r>
      <w:r w:rsidRPr="00964ECB">
        <w:rPr>
          <w:rFonts w:cs="Arial"/>
          <w:b/>
          <w:iCs/>
          <w:lang w:eastAsia="en-AU"/>
        </w:rPr>
        <w:t>.3]</w:t>
      </w:r>
      <w:r w:rsidRPr="00964ECB">
        <w:rPr>
          <w:rFonts w:cs="Arial"/>
          <w:b/>
          <w:iCs/>
          <w:lang w:eastAsia="en-AU"/>
        </w:rPr>
        <w:tab/>
      </w:r>
      <w:r w:rsidRPr="00964ECB">
        <w:rPr>
          <w:rFonts w:cs="Arial"/>
          <w:iCs/>
          <w:lang w:eastAsia="en-AU"/>
        </w:rPr>
        <w:t>omit</w:t>
      </w:r>
      <w:r>
        <w:rPr>
          <w:rFonts w:cs="Arial"/>
          <w:iCs/>
          <w:lang w:eastAsia="en-AU"/>
        </w:rPr>
        <w:t xml:space="preserve">ting the following </w:t>
      </w:r>
      <w:r w:rsidRPr="00F139CE">
        <w:rPr>
          <w:rFonts w:cs="Arial"/>
          <w:iCs/>
          <w:lang w:eastAsia="en-AU"/>
        </w:rPr>
        <w:t>from item 9.2</w:t>
      </w:r>
      <w:r w:rsidRPr="00964ECB">
        <w:rPr>
          <w:rFonts w:cs="Arial"/>
          <w:iCs/>
          <w:lang w:eastAsia="en-AU"/>
        </w:rPr>
        <w:t xml:space="preserve"> of the table to section S15—5, </w:t>
      </w:r>
    </w:p>
    <w:p w14:paraId="232FE228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359D9" w:rsidRPr="00D214AE" w14:paraId="5F0F6E27" w14:textId="77777777" w:rsidTr="00873935">
        <w:trPr>
          <w:cantSplit/>
        </w:trPr>
        <w:tc>
          <w:tcPr>
            <w:tcW w:w="1668" w:type="dxa"/>
          </w:tcPr>
          <w:p w14:paraId="7F03D1B3" w14:textId="77777777" w:rsidR="006359D9" w:rsidRPr="003D6026" w:rsidRDefault="006359D9" w:rsidP="00873935">
            <w:pPr>
              <w:pStyle w:val="FSCtblAdd1"/>
            </w:pPr>
          </w:p>
        </w:tc>
        <w:tc>
          <w:tcPr>
            <w:tcW w:w="4252" w:type="dxa"/>
          </w:tcPr>
          <w:p w14:paraId="5090B092" w14:textId="77777777" w:rsidR="006359D9" w:rsidRPr="003D6026" w:rsidRDefault="006359D9" w:rsidP="00873935">
            <w:pPr>
              <w:pStyle w:val="FSCtblAdd1"/>
            </w:pPr>
            <w:r>
              <w:t>C</w:t>
            </w:r>
            <w:r w:rsidRPr="003D6026">
              <w:t>olourings permitted to a maximum level</w:t>
            </w:r>
          </w:p>
        </w:tc>
        <w:tc>
          <w:tcPr>
            <w:tcW w:w="992" w:type="dxa"/>
          </w:tcPr>
          <w:p w14:paraId="59D2A448" w14:textId="77777777" w:rsidR="006359D9" w:rsidRPr="003D6026" w:rsidRDefault="006359D9" w:rsidP="00873935">
            <w:pPr>
              <w:pStyle w:val="FSCtblAdd2"/>
            </w:pPr>
          </w:p>
        </w:tc>
        <w:tc>
          <w:tcPr>
            <w:tcW w:w="2160" w:type="dxa"/>
          </w:tcPr>
          <w:p w14:paraId="00F556CC" w14:textId="77777777" w:rsidR="006359D9" w:rsidRPr="00D214AE" w:rsidRDefault="006359D9" w:rsidP="00873935">
            <w:pPr>
              <w:pStyle w:val="FSCtblAdd1"/>
            </w:pPr>
          </w:p>
        </w:tc>
      </w:tr>
    </w:tbl>
    <w:p w14:paraId="6E01C826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</w:p>
    <w:p w14:paraId="55685A61" w14:textId="77777777" w:rsidR="006359D9" w:rsidRPr="00964ECB" w:rsidRDefault="006359D9" w:rsidP="006359D9">
      <w:pPr>
        <w:spacing w:before="60" w:after="60"/>
        <w:rPr>
          <w:rFonts w:cs="Arial"/>
          <w:iCs/>
          <w:lang w:eastAsia="en-AU"/>
        </w:rPr>
      </w:pPr>
      <w:r w:rsidRPr="00964ECB">
        <w:rPr>
          <w:rFonts w:cs="Arial"/>
          <w:iCs/>
          <w:lang w:eastAsia="en-AU"/>
        </w:rPr>
        <w:t>substituting</w:t>
      </w:r>
    </w:p>
    <w:p w14:paraId="1F602FC1" w14:textId="77777777" w:rsidR="006359D9" w:rsidRPr="00F139CE" w:rsidRDefault="006359D9" w:rsidP="006359D9">
      <w:pPr>
        <w:spacing w:before="60" w:after="60"/>
        <w:rPr>
          <w:rFonts w:cs="Arial"/>
          <w:iCs/>
          <w:sz w:val="18"/>
          <w:szCs w:val="18"/>
          <w:lang w:eastAsia="en-AU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160"/>
      </w:tblGrid>
      <w:tr w:rsidR="006359D9" w:rsidRPr="00F139CE" w14:paraId="0E973337" w14:textId="77777777" w:rsidTr="0087393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814C3E6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FAC1EA7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F139CE">
              <w:rPr>
                <w:sz w:val="18"/>
                <w:szCs w:val="18"/>
              </w:rPr>
              <w:t>Colourings permitted to a maximum level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20CD2C" w14:textId="77777777" w:rsidR="006359D9" w:rsidRPr="00964ECB" w:rsidRDefault="006359D9" w:rsidP="00873935">
            <w:pPr>
              <w:keepLines/>
              <w:spacing w:before="20" w:after="20"/>
              <w:jc w:val="right"/>
              <w:rPr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6C0F64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</w:p>
        </w:tc>
      </w:tr>
      <w:tr w:rsidR="006359D9" w:rsidRPr="00964ECB" w14:paraId="4255B23A" w14:textId="77777777" w:rsidTr="00873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68" w:type="dxa"/>
          </w:tcPr>
          <w:p w14:paraId="59948E2F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>432</w:t>
            </w:r>
          </w:p>
        </w:tc>
        <w:tc>
          <w:tcPr>
            <w:tcW w:w="4252" w:type="dxa"/>
          </w:tcPr>
          <w:p w14:paraId="331F8CAC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  <w:r w:rsidRPr="00964ECB">
              <w:rPr>
                <w:sz w:val="18"/>
              </w:rPr>
              <w:t xml:space="preserve">Polyoxyethylene </w:t>
            </w:r>
            <w:r>
              <w:rPr>
                <w:sz w:val="18"/>
              </w:rPr>
              <w:t xml:space="preserve">(20) </w:t>
            </w:r>
            <w:r w:rsidRPr="00964ECB">
              <w:rPr>
                <w:sz w:val="18"/>
              </w:rPr>
              <w:t>sorbitan monolaurate</w:t>
            </w:r>
          </w:p>
        </w:tc>
        <w:tc>
          <w:tcPr>
            <w:tcW w:w="992" w:type="dxa"/>
          </w:tcPr>
          <w:p w14:paraId="5C647607" w14:textId="77777777" w:rsidR="006359D9" w:rsidRPr="00964ECB" w:rsidRDefault="006359D9" w:rsidP="00873935">
            <w:pPr>
              <w:keepLines/>
              <w:spacing w:before="20" w:after="20"/>
              <w:jc w:val="right"/>
              <w:rPr>
                <w:sz w:val="18"/>
              </w:rPr>
            </w:pPr>
            <w:r w:rsidRPr="00964ECB">
              <w:rPr>
                <w:sz w:val="18"/>
              </w:rPr>
              <w:t>500</w:t>
            </w:r>
          </w:p>
        </w:tc>
        <w:tc>
          <w:tcPr>
            <w:tcW w:w="2160" w:type="dxa"/>
          </w:tcPr>
          <w:p w14:paraId="1510D8B1" w14:textId="77777777" w:rsidR="006359D9" w:rsidRPr="00964ECB" w:rsidRDefault="006359D9" w:rsidP="00873935">
            <w:pPr>
              <w:keepLines/>
              <w:spacing w:before="20" w:after="20"/>
              <w:rPr>
                <w:sz w:val="18"/>
              </w:rPr>
            </w:pPr>
          </w:p>
        </w:tc>
      </w:tr>
    </w:tbl>
    <w:p w14:paraId="6CA33030" w14:textId="77777777" w:rsidR="006359D9" w:rsidRPr="003A01FB" w:rsidRDefault="006359D9" w:rsidP="006359D9"/>
    <w:p w14:paraId="6839CE7C" w14:textId="77777777" w:rsidR="00647080" w:rsidRDefault="00647080">
      <w:pPr>
        <w:widowControl/>
        <w:tabs>
          <w:tab w:val="clear" w:pos="851"/>
        </w:tabs>
        <w:rPr>
          <w:lang w:val="en-AU" w:eastAsia="en-GB"/>
        </w:rPr>
      </w:pPr>
    </w:p>
    <w:p w14:paraId="572F6A10" w14:textId="77777777" w:rsidR="00647080" w:rsidRDefault="00647080">
      <w:pPr>
        <w:widowControl/>
        <w:tabs>
          <w:tab w:val="clear" w:pos="851"/>
        </w:tabs>
        <w:rPr>
          <w:lang w:val="en-AU" w:eastAsia="en-GB"/>
        </w:rPr>
      </w:pPr>
      <w:r>
        <w:rPr>
          <w:lang w:val="en-AU" w:eastAsia="en-GB"/>
        </w:rPr>
        <w:br w:type="page"/>
      </w:r>
    </w:p>
    <w:p w14:paraId="40859E52" w14:textId="77777777" w:rsidR="00647080" w:rsidRPr="00653D9D" w:rsidRDefault="00647080" w:rsidP="00647080">
      <w:pPr>
        <w:rPr>
          <w:noProof/>
          <w:lang w:eastAsia="en-AU"/>
        </w:rPr>
      </w:pPr>
      <w:r w:rsidRPr="00653D9D">
        <w:rPr>
          <w:noProof/>
          <w:lang w:eastAsia="en-GB"/>
        </w:rPr>
        <w:lastRenderedPageBreak/>
        <w:drawing>
          <wp:inline distT="0" distB="0" distL="0" distR="0" wp14:anchorId="01155F4E" wp14:editId="2BF5EAC9">
            <wp:extent cx="2657475" cy="438150"/>
            <wp:effectExtent l="0" t="0" r="9525" b="0"/>
            <wp:docPr id="10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8488" w14:textId="77777777" w:rsidR="00647080" w:rsidRPr="00653D9D" w:rsidRDefault="00647080" w:rsidP="00647080">
      <w:pPr>
        <w:pBdr>
          <w:bottom w:val="single" w:sz="4" w:space="1" w:color="auto"/>
        </w:pBdr>
        <w:jc w:val="center"/>
      </w:pPr>
    </w:p>
    <w:p w14:paraId="5E443FF4" w14:textId="0698FC98" w:rsidR="00647080" w:rsidRDefault="00647080" w:rsidP="00647080">
      <w:pPr>
        <w:pBdr>
          <w:bottom w:val="single" w:sz="4" w:space="1" w:color="auto"/>
        </w:pBdr>
        <w:rPr>
          <w:b/>
        </w:rPr>
      </w:pPr>
      <w:r w:rsidRPr="00304930">
        <w:rPr>
          <w:b/>
        </w:rPr>
        <w:t xml:space="preserve">Food Standards </w:t>
      </w:r>
      <w:r>
        <w:rPr>
          <w:b/>
        </w:rPr>
        <w:t>(Proposal P1048</w:t>
      </w:r>
      <w:r w:rsidRPr="00304930">
        <w:rPr>
          <w:b/>
        </w:rPr>
        <w:t xml:space="preserve"> – Code Revision </w:t>
      </w:r>
      <w:r>
        <w:rPr>
          <w:b/>
        </w:rPr>
        <w:t>(2018)</w:t>
      </w:r>
      <w:r w:rsidRPr="00304930">
        <w:rPr>
          <w:b/>
        </w:rPr>
        <w:t>) Variation</w:t>
      </w:r>
    </w:p>
    <w:p w14:paraId="361F19BA" w14:textId="77777777" w:rsidR="00647080" w:rsidRPr="00B542C5" w:rsidRDefault="00647080" w:rsidP="00647080">
      <w:pPr>
        <w:pBdr>
          <w:bottom w:val="single" w:sz="4" w:space="1" w:color="auto"/>
        </w:pBdr>
        <w:rPr>
          <w:b/>
          <w:color w:val="FF0000"/>
        </w:rPr>
      </w:pPr>
    </w:p>
    <w:p w14:paraId="7B5658B7" w14:textId="77777777" w:rsidR="00647080" w:rsidRPr="00B542C5" w:rsidRDefault="00647080" w:rsidP="00647080">
      <w:pPr>
        <w:rPr>
          <w:color w:val="FF0000"/>
        </w:rPr>
      </w:pPr>
    </w:p>
    <w:p w14:paraId="3A9665F5" w14:textId="77777777" w:rsidR="00647080" w:rsidRPr="00B542C5" w:rsidRDefault="00647080" w:rsidP="00647080">
      <w:r w:rsidRPr="00B542C5">
        <w:t xml:space="preserve">The Board of Food Standards Australia New Zealand gives notice of the making of this variation under section 92 of the </w:t>
      </w:r>
      <w:r w:rsidRPr="00B542C5">
        <w:rPr>
          <w:i/>
        </w:rPr>
        <w:t>Food Standards Australia New Zealand Act 1991</w:t>
      </w:r>
      <w:r w:rsidRPr="00B542C5">
        <w:t>.  The Standard commences on the date specified in clause 3 of this variation.</w:t>
      </w:r>
    </w:p>
    <w:p w14:paraId="36D23D0C" w14:textId="77777777" w:rsidR="00647080" w:rsidRPr="00B542C5" w:rsidRDefault="00647080" w:rsidP="00647080"/>
    <w:p w14:paraId="3A7CD56B" w14:textId="72784CAF" w:rsidR="00647080" w:rsidRPr="00B542C5" w:rsidRDefault="00647080" w:rsidP="00647080">
      <w:r w:rsidRPr="00B542C5">
        <w:t xml:space="preserve">Dated </w:t>
      </w:r>
      <w:r>
        <w:t>1</w:t>
      </w:r>
      <w:r w:rsidR="00B61A52">
        <w:t>9</w:t>
      </w:r>
      <w:r>
        <w:t xml:space="preserve"> November 2018</w:t>
      </w:r>
    </w:p>
    <w:p w14:paraId="62143E77" w14:textId="0E55A49E" w:rsidR="00647080" w:rsidRPr="00B542C5" w:rsidRDefault="00647080" w:rsidP="00647080">
      <w:r>
        <w:rPr>
          <w:noProof/>
          <w:lang w:eastAsia="en-GB"/>
        </w:rPr>
        <w:drawing>
          <wp:inline distT="0" distB="0" distL="0" distR="0" wp14:anchorId="5104CEFD" wp14:editId="34788366">
            <wp:extent cx="1657350" cy="1038225"/>
            <wp:effectExtent l="0" t="0" r="0" b="9525"/>
            <wp:docPr id="11" name="Picture 11" descr="E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si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5" t="16452" r="7932" b="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37D8" w14:textId="77777777" w:rsidR="00647080" w:rsidRPr="00B542C5" w:rsidRDefault="00647080" w:rsidP="00647080"/>
    <w:p w14:paraId="3944206D" w14:textId="77777777" w:rsidR="00647080" w:rsidRPr="00B542C5" w:rsidRDefault="00647080" w:rsidP="00647080">
      <w:r w:rsidRPr="00B813BC">
        <w:t>Standards Management Officer</w:t>
      </w:r>
    </w:p>
    <w:p w14:paraId="059CCFF7" w14:textId="77777777" w:rsidR="00647080" w:rsidRPr="00B542C5" w:rsidRDefault="00647080" w:rsidP="00647080">
      <w:r w:rsidRPr="00B542C5">
        <w:t>Delegate of the Board of Food Standards Australia New Zealand</w:t>
      </w:r>
    </w:p>
    <w:p w14:paraId="6BE2EC74" w14:textId="77777777" w:rsidR="00647080" w:rsidRPr="00B542C5" w:rsidRDefault="00647080" w:rsidP="00647080"/>
    <w:p w14:paraId="7B96010B" w14:textId="77777777" w:rsidR="00647080" w:rsidRPr="00B542C5" w:rsidRDefault="00647080" w:rsidP="00647080"/>
    <w:p w14:paraId="44B2FA35" w14:textId="77777777" w:rsidR="00647080" w:rsidRPr="00B542C5" w:rsidRDefault="00647080" w:rsidP="00647080"/>
    <w:p w14:paraId="21359CCC" w14:textId="77777777" w:rsidR="00647080" w:rsidRPr="00B542C5" w:rsidRDefault="00647080" w:rsidP="00647080"/>
    <w:p w14:paraId="20CCF3E9" w14:textId="77777777" w:rsidR="00647080" w:rsidRPr="00B542C5" w:rsidRDefault="00647080" w:rsidP="00647080"/>
    <w:p w14:paraId="71B5F527" w14:textId="77777777" w:rsidR="00647080" w:rsidRPr="00B542C5" w:rsidRDefault="00647080" w:rsidP="0064708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</w:rPr>
      </w:pPr>
      <w:r w:rsidRPr="00B542C5">
        <w:rPr>
          <w:b/>
        </w:rPr>
        <w:t xml:space="preserve">Note:  </w:t>
      </w:r>
    </w:p>
    <w:p w14:paraId="6C8ACC41" w14:textId="77777777" w:rsidR="00647080" w:rsidRPr="00B542C5" w:rsidRDefault="00647080" w:rsidP="0064708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</w:pPr>
    </w:p>
    <w:p w14:paraId="23CAD9D1" w14:textId="77777777" w:rsidR="00647080" w:rsidRPr="00215C67" w:rsidRDefault="00647080" w:rsidP="0064708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</w:pPr>
      <w:r w:rsidRPr="00B542C5">
        <w:t xml:space="preserve">This variation will be published in the Commonwealth of Australia Gazette No. FSC </w:t>
      </w:r>
      <w:r w:rsidRPr="00215C67">
        <w:t xml:space="preserve">123 on 29 November 2018. This means that this date is the gazettal date for the purposes of clause 3 of the variation. </w:t>
      </w:r>
    </w:p>
    <w:p w14:paraId="3812F8AC" w14:textId="77777777" w:rsidR="00647080" w:rsidRPr="00653D9D" w:rsidRDefault="00647080" w:rsidP="00647080"/>
    <w:p w14:paraId="4ADABED8" w14:textId="77777777" w:rsidR="00647080" w:rsidRPr="00653D9D" w:rsidRDefault="00647080" w:rsidP="00647080">
      <w:pPr>
        <w:widowControl/>
      </w:pPr>
      <w:r w:rsidRPr="00653D9D">
        <w:br w:type="page"/>
      </w:r>
    </w:p>
    <w:p w14:paraId="44D82E93" w14:textId="77777777" w:rsidR="00647080" w:rsidRPr="00B542C5" w:rsidRDefault="00647080" w:rsidP="00647080">
      <w:pPr>
        <w:pStyle w:val="FSCDraftingitemheading"/>
      </w:pPr>
      <w:r w:rsidRPr="00B542C5">
        <w:lastRenderedPageBreak/>
        <w:t>1</w:t>
      </w:r>
      <w:r w:rsidRPr="00B542C5">
        <w:tab/>
        <w:t>Name</w:t>
      </w:r>
    </w:p>
    <w:p w14:paraId="347F8988" w14:textId="77777777" w:rsidR="00647080" w:rsidRPr="00B542C5" w:rsidRDefault="00647080" w:rsidP="00647080">
      <w:pPr>
        <w:pStyle w:val="FSCDraftingitem"/>
        <w:rPr>
          <w:color w:val="FF0000"/>
        </w:rPr>
      </w:pPr>
      <w:r w:rsidRPr="00B542C5">
        <w:t xml:space="preserve">This instrument is the </w:t>
      </w:r>
      <w:r w:rsidRPr="00B542C5">
        <w:rPr>
          <w:i/>
        </w:rPr>
        <w:t xml:space="preserve">Food </w:t>
      </w:r>
      <w:r w:rsidRPr="005C0C2D">
        <w:rPr>
          <w:i/>
        </w:rPr>
        <w:t>Standards (Proposal P</w:t>
      </w:r>
      <w:r>
        <w:rPr>
          <w:i/>
        </w:rPr>
        <w:t>1048</w:t>
      </w:r>
      <w:r w:rsidRPr="005C0C2D">
        <w:rPr>
          <w:i/>
        </w:rPr>
        <w:t xml:space="preserve"> – Code Revision </w:t>
      </w:r>
      <w:r>
        <w:rPr>
          <w:i/>
        </w:rPr>
        <w:t>(2018)</w:t>
      </w:r>
      <w:r w:rsidRPr="005C0C2D">
        <w:rPr>
          <w:i/>
        </w:rPr>
        <w:t xml:space="preserve">) </w:t>
      </w:r>
      <w:r w:rsidRPr="00B542C5">
        <w:rPr>
          <w:i/>
        </w:rPr>
        <w:t>Variation</w:t>
      </w:r>
      <w:r w:rsidRPr="00B542C5">
        <w:t>.</w:t>
      </w:r>
    </w:p>
    <w:p w14:paraId="1BCBEEDD" w14:textId="77777777" w:rsidR="00647080" w:rsidRPr="00B542C5" w:rsidRDefault="00647080" w:rsidP="00647080">
      <w:pPr>
        <w:pStyle w:val="FSCDraftingitemheading"/>
      </w:pPr>
      <w:r w:rsidRPr="00B542C5">
        <w:t>2</w:t>
      </w:r>
      <w:r w:rsidRPr="00B542C5">
        <w:tab/>
        <w:t xml:space="preserve">Variation to standards in the </w:t>
      </w:r>
      <w:r w:rsidRPr="00B542C5">
        <w:rPr>
          <w:i/>
        </w:rPr>
        <w:t>Australia New Zealand Food Standards Code</w:t>
      </w:r>
    </w:p>
    <w:p w14:paraId="7997608F" w14:textId="77777777" w:rsidR="00647080" w:rsidRPr="00B542C5" w:rsidRDefault="00647080" w:rsidP="00647080">
      <w:pPr>
        <w:pStyle w:val="FSCDraftingitem"/>
      </w:pPr>
      <w:r w:rsidRPr="00B542C5">
        <w:t xml:space="preserve">The Schedule varies Standards in the </w:t>
      </w:r>
      <w:r w:rsidRPr="00B542C5">
        <w:rPr>
          <w:i/>
        </w:rPr>
        <w:t>Australia New Zealand Food Standards Code</w:t>
      </w:r>
      <w:r w:rsidRPr="00B542C5">
        <w:t>.</w:t>
      </w:r>
    </w:p>
    <w:p w14:paraId="3F604AB5" w14:textId="77777777" w:rsidR="00647080" w:rsidRPr="00B542C5" w:rsidRDefault="00647080" w:rsidP="00647080">
      <w:pPr>
        <w:pStyle w:val="FSCDraftingitemheading"/>
      </w:pPr>
      <w:r w:rsidRPr="00B542C5">
        <w:t>3</w:t>
      </w:r>
      <w:r w:rsidRPr="00B542C5">
        <w:tab/>
        <w:t>Commencement</w:t>
      </w:r>
    </w:p>
    <w:p w14:paraId="6C1EC5DD" w14:textId="77777777" w:rsidR="00647080" w:rsidRDefault="00647080" w:rsidP="00647080">
      <w:pPr>
        <w:pStyle w:val="FSCDraftingitem"/>
      </w:pPr>
      <w:r w:rsidRPr="00653D9D">
        <w:t xml:space="preserve">The variation commences on </w:t>
      </w:r>
      <w:r>
        <w:t>the date of gazettal.</w:t>
      </w:r>
    </w:p>
    <w:p w14:paraId="73998D64" w14:textId="77777777" w:rsidR="00647080" w:rsidRPr="00653D9D" w:rsidRDefault="00647080" w:rsidP="00647080">
      <w:pPr>
        <w:pStyle w:val="FSCDraftingitem"/>
      </w:pPr>
    </w:p>
    <w:p w14:paraId="64D23AEC" w14:textId="77777777" w:rsidR="00647080" w:rsidRPr="00653D9D" w:rsidRDefault="00647080" w:rsidP="00647080">
      <w:pPr>
        <w:pStyle w:val="FSCDraftingitemheading"/>
        <w:jc w:val="center"/>
      </w:pPr>
      <w:r w:rsidRPr="00653D9D">
        <w:t>SCHEDULE</w:t>
      </w:r>
    </w:p>
    <w:p w14:paraId="702B6AD7" w14:textId="77777777" w:rsidR="00647080" w:rsidRPr="008507EE" w:rsidRDefault="00647080" w:rsidP="00647080">
      <w:pPr>
        <w:pStyle w:val="FSCh5Section"/>
      </w:pPr>
      <w:r w:rsidRPr="008507EE">
        <w:t xml:space="preserve">Standard 1.1.1 – Structure of the Code and general provisions </w:t>
      </w:r>
    </w:p>
    <w:p w14:paraId="4CAEA4A7" w14:textId="77777777" w:rsidR="00647080" w:rsidRPr="008507EE" w:rsidRDefault="00647080" w:rsidP="00647080">
      <w:pPr>
        <w:pStyle w:val="FSCDraftingitemheading"/>
      </w:pPr>
      <w:r w:rsidRPr="008507EE">
        <w:t>[1]</w:t>
      </w:r>
      <w:r w:rsidRPr="008507EE">
        <w:tab/>
        <w:t>Subsection 1.1.1—2(2)</w:t>
      </w:r>
    </w:p>
    <w:p w14:paraId="62EF7FE5" w14:textId="77777777" w:rsidR="00647080" w:rsidRPr="008507EE" w:rsidRDefault="00647080" w:rsidP="00647080">
      <w:pPr>
        <w:pStyle w:val="FSCDraftingitem"/>
      </w:pPr>
      <w:r w:rsidRPr="008507EE">
        <w:tab/>
        <w:t>Omit</w:t>
      </w:r>
    </w:p>
    <w:p w14:paraId="190A5D3E" w14:textId="77777777" w:rsidR="00647080" w:rsidRPr="008507EE" w:rsidRDefault="00647080" w:rsidP="00647080">
      <w:pPr>
        <w:pStyle w:val="FSCoutStand"/>
      </w:pPr>
      <w:r w:rsidRPr="008507EE">
        <w:rPr>
          <w:rFonts w:cs="Times New Roman"/>
        </w:rPr>
        <w:tab/>
      </w:r>
      <w:r w:rsidRPr="008507EE">
        <w:t>Schedule 22</w:t>
      </w:r>
      <w:r w:rsidRPr="008507EE">
        <w:tab/>
        <w:t>Foods and classes of foods</w:t>
      </w:r>
    </w:p>
    <w:p w14:paraId="3DA7E053" w14:textId="77777777" w:rsidR="00647080" w:rsidRPr="008507EE" w:rsidRDefault="00647080" w:rsidP="00647080">
      <w:pPr>
        <w:pStyle w:val="FSCnMain"/>
      </w:pPr>
      <w:r w:rsidRPr="008507EE">
        <w:rPr>
          <w:b/>
          <w:i/>
        </w:rPr>
        <w:tab/>
        <w:t>Note</w:t>
      </w:r>
      <w:r w:rsidRPr="008507EE">
        <w:tab/>
      </w:r>
      <w:r w:rsidRPr="008507EE">
        <w:tab/>
        <w:t>Applies in Australia only</w:t>
      </w:r>
    </w:p>
    <w:p w14:paraId="6C55B0F5" w14:textId="77777777" w:rsidR="00647080" w:rsidRPr="008507EE" w:rsidRDefault="00647080" w:rsidP="00647080">
      <w:pPr>
        <w:pStyle w:val="FSCDraftingitem"/>
      </w:pPr>
      <w:r w:rsidRPr="008507EE">
        <w:tab/>
        <w:t>substitute</w:t>
      </w:r>
    </w:p>
    <w:p w14:paraId="2E729AEB" w14:textId="77777777" w:rsidR="00647080" w:rsidRPr="008507EE" w:rsidRDefault="00647080" w:rsidP="00647080">
      <w:pPr>
        <w:pStyle w:val="FSCoutStand"/>
      </w:pPr>
      <w:r w:rsidRPr="008507EE">
        <w:rPr>
          <w:rFonts w:cs="Times New Roman"/>
        </w:rPr>
        <w:tab/>
      </w:r>
      <w:r w:rsidRPr="008507EE">
        <w:t>Schedule 22</w:t>
      </w:r>
      <w:r w:rsidRPr="008507EE">
        <w:tab/>
        <w:t>Foods and classes of foods</w:t>
      </w:r>
    </w:p>
    <w:p w14:paraId="7DAE0335" w14:textId="77777777" w:rsidR="00647080" w:rsidRPr="008507EE" w:rsidRDefault="00647080" w:rsidP="00647080">
      <w:pPr>
        <w:pStyle w:val="FSCh5Section"/>
      </w:pPr>
      <w:r w:rsidRPr="008507EE">
        <w:t>Standard 1.1.2 – Definitions used throughout the Code</w:t>
      </w:r>
      <w:bookmarkStart w:id="5" w:name="_GoBack"/>
      <w:bookmarkEnd w:id="5"/>
    </w:p>
    <w:p w14:paraId="17BE004B" w14:textId="77777777" w:rsidR="00647080" w:rsidRPr="008507EE" w:rsidRDefault="00647080" w:rsidP="00647080">
      <w:pPr>
        <w:pStyle w:val="FSCDraftingitemheading"/>
      </w:pPr>
      <w:r w:rsidRPr="008507EE">
        <w:t>[2]</w:t>
      </w:r>
      <w:r w:rsidRPr="008507EE">
        <w:tab/>
        <w:t>Subsection 1.1.2—2(3)</w:t>
      </w:r>
      <w:r>
        <w:t xml:space="preserve"> (definition of </w:t>
      </w:r>
      <w:r w:rsidRPr="00D56057">
        <w:rPr>
          <w:i/>
        </w:rPr>
        <w:t>permitted flavouring substance</w:t>
      </w:r>
      <w:r>
        <w:t>)</w:t>
      </w:r>
    </w:p>
    <w:p w14:paraId="6F1DF06B" w14:textId="77777777" w:rsidR="00647080" w:rsidRPr="008507EE" w:rsidRDefault="00647080" w:rsidP="00647080">
      <w:pPr>
        <w:pStyle w:val="FSCDraftingitemheading"/>
        <w:rPr>
          <w:b w:val="0"/>
        </w:rPr>
      </w:pPr>
      <w:r w:rsidRPr="008507EE">
        <w:tab/>
      </w:r>
      <w:r w:rsidRPr="008507EE">
        <w:rPr>
          <w:b w:val="0"/>
        </w:rPr>
        <w:t>Omit ‘2015 (edition 27)’, substitute ‘201</w:t>
      </w:r>
      <w:r>
        <w:rPr>
          <w:b w:val="0"/>
        </w:rPr>
        <w:t>8</w:t>
      </w:r>
      <w:r w:rsidRPr="008507EE">
        <w:rPr>
          <w:b w:val="0"/>
        </w:rPr>
        <w:t xml:space="preserve"> (edition 28)’</w:t>
      </w:r>
    </w:p>
    <w:p w14:paraId="6A9D3B65" w14:textId="77777777" w:rsidR="00647080" w:rsidRPr="008507EE" w:rsidRDefault="00647080" w:rsidP="00647080">
      <w:pPr>
        <w:pStyle w:val="FSCDraftingitemheading"/>
      </w:pPr>
      <w:r w:rsidRPr="008507EE">
        <w:t>[3]</w:t>
      </w:r>
      <w:r w:rsidRPr="008507EE">
        <w:tab/>
        <w:t>Subsection 1.1.2—9(1)(a)(i)</w:t>
      </w:r>
    </w:p>
    <w:p w14:paraId="2CFC7BB7" w14:textId="77777777" w:rsidR="00647080" w:rsidRPr="008507EE" w:rsidRDefault="00647080" w:rsidP="00647080">
      <w:pPr>
        <w:pStyle w:val="FSCDraftingitemheading"/>
        <w:rPr>
          <w:b w:val="0"/>
        </w:rPr>
      </w:pPr>
      <w:r w:rsidRPr="008507EE">
        <w:tab/>
      </w:r>
      <w:r w:rsidRPr="008507EE">
        <w:rPr>
          <w:b w:val="0"/>
        </w:rPr>
        <w:t>Omit ‘*fat’, substitute ‘fat’</w:t>
      </w:r>
    </w:p>
    <w:p w14:paraId="6D22F624" w14:textId="77777777" w:rsidR="00647080" w:rsidRPr="008507EE" w:rsidRDefault="00647080" w:rsidP="00647080">
      <w:pPr>
        <w:pStyle w:val="FSCh5Section"/>
      </w:pPr>
      <w:r w:rsidRPr="008507EE">
        <w:t>Standard 1.2.7 – Nutrition, health and related claims</w:t>
      </w:r>
    </w:p>
    <w:p w14:paraId="7149BB09" w14:textId="77777777" w:rsidR="00647080" w:rsidRPr="008507EE" w:rsidRDefault="00647080" w:rsidP="00647080">
      <w:pPr>
        <w:pStyle w:val="FSCDraftingitemheading"/>
        <w:keepNext/>
      </w:pPr>
      <w:r w:rsidRPr="008507EE">
        <w:t>[4]</w:t>
      </w:r>
      <w:r w:rsidRPr="008507EE">
        <w:tab/>
        <w:t>Section 1.2.7—4</w:t>
      </w:r>
    </w:p>
    <w:p w14:paraId="34994121" w14:textId="77777777" w:rsidR="00647080" w:rsidRPr="008507EE" w:rsidRDefault="00647080" w:rsidP="00647080">
      <w:pPr>
        <w:pStyle w:val="FSCDraftingitem"/>
      </w:pPr>
      <w:r w:rsidRPr="008507EE">
        <w:tab/>
        <w:t xml:space="preserve">Omit ‘*nutrition content claim’, substitute ‘nutrition content claim’ </w:t>
      </w:r>
    </w:p>
    <w:p w14:paraId="76646860" w14:textId="77777777" w:rsidR="00647080" w:rsidRPr="008507EE" w:rsidRDefault="00647080" w:rsidP="00647080">
      <w:pPr>
        <w:pStyle w:val="FSCh5Section"/>
      </w:pPr>
      <w:r w:rsidRPr="008507EE">
        <w:t xml:space="preserve">Standard 1.2.8 – Nutrition information requirements </w:t>
      </w:r>
    </w:p>
    <w:p w14:paraId="05051F78" w14:textId="77777777" w:rsidR="00647080" w:rsidRPr="008507EE" w:rsidRDefault="00647080" w:rsidP="00647080">
      <w:pPr>
        <w:pStyle w:val="FSCDraftingitemheading"/>
        <w:keepNext/>
      </w:pPr>
      <w:r w:rsidRPr="008507EE">
        <w:t>[5]</w:t>
      </w:r>
      <w:r w:rsidRPr="008507EE">
        <w:tab/>
        <w:t>Paragraph 1.2.8—5(2)(b)</w:t>
      </w:r>
    </w:p>
    <w:p w14:paraId="3094E3FC" w14:textId="77777777" w:rsidR="00647080" w:rsidRPr="008507EE" w:rsidRDefault="00647080" w:rsidP="00647080">
      <w:pPr>
        <w:pStyle w:val="FSCDraftingitem"/>
      </w:pPr>
      <w:r w:rsidRPr="008507EE">
        <w:tab/>
        <w:t>Omit ‘small package’, substitute ‘*small package’</w:t>
      </w:r>
    </w:p>
    <w:p w14:paraId="5AFB0686" w14:textId="77777777" w:rsidR="00647080" w:rsidRPr="008507EE" w:rsidRDefault="00647080" w:rsidP="00647080">
      <w:pPr>
        <w:pStyle w:val="FSCDraftingitemheading"/>
        <w:keepNext/>
      </w:pPr>
      <w:r w:rsidRPr="008507EE">
        <w:t>[6]</w:t>
      </w:r>
      <w:r w:rsidRPr="008507EE">
        <w:tab/>
        <w:t>Subsection 1.2.8—14(1)</w:t>
      </w:r>
    </w:p>
    <w:p w14:paraId="6B36238F" w14:textId="77777777" w:rsidR="00647080" w:rsidRPr="008507EE" w:rsidRDefault="00647080" w:rsidP="00647080">
      <w:pPr>
        <w:pStyle w:val="FSCDraftingitem"/>
      </w:pPr>
      <w:r w:rsidRPr="008507EE">
        <w:tab/>
        <w:t>Omit ‘small package’, substitute ‘*small package’</w:t>
      </w:r>
    </w:p>
    <w:p w14:paraId="16FF1FD6" w14:textId="77777777" w:rsidR="00647080" w:rsidRPr="00107135" w:rsidRDefault="00647080" w:rsidP="00647080">
      <w:pPr>
        <w:pStyle w:val="FSCh5Section"/>
      </w:pPr>
      <w:r w:rsidRPr="00107135">
        <w:t>Standard 1.2.10 – Information requirements – characterising ingredients and components of food</w:t>
      </w:r>
    </w:p>
    <w:p w14:paraId="54750405" w14:textId="77777777" w:rsidR="00647080" w:rsidRPr="00107135" w:rsidRDefault="00647080" w:rsidP="00647080">
      <w:pPr>
        <w:pStyle w:val="FSCDraftingitemheading"/>
        <w:keepNext/>
      </w:pPr>
      <w:r w:rsidRPr="00107135">
        <w:t>[7]</w:t>
      </w:r>
      <w:r w:rsidRPr="00107135">
        <w:tab/>
        <w:t>Paragraph 1.2.10—3(3)(c)</w:t>
      </w:r>
    </w:p>
    <w:p w14:paraId="28282542" w14:textId="77777777" w:rsidR="00647080" w:rsidRPr="00107135" w:rsidRDefault="00647080" w:rsidP="00647080">
      <w:pPr>
        <w:pStyle w:val="FSCDraftingitem"/>
      </w:pPr>
      <w:r w:rsidRPr="00107135">
        <w:tab/>
        <w:t>Omit ‘small package’, substitute ‘*small package’</w:t>
      </w:r>
    </w:p>
    <w:p w14:paraId="272A2EF8" w14:textId="77777777" w:rsidR="00647080" w:rsidRPr="00107135" w:rsidRDefault="00647080" w:rsidP="00647080">
      <w:pPr>
        <w:pStyle w:val="FSCh5Section"/>
        <w:ind w:left="0" w:firstLine="0"/>
      </w:pPr>
      <w:r w:rsidRPr="00107135">
        <w:t>Standard 1.6.1 – Microbiological limits in food</w:t>
      </w:r>
    </w:p>
    <w:p w14:paraId="18589957" w14:textId="77777777" w:rsidR="00647080" w:rsidRPr="00107135" w:rsidRDefault="00647080" w:rsidP="00647080">
      <w:pPr>
        <w:pStyle w:val="FSCDraftingitemheading"/>
        <w:keepNext/>
      </w:pPr>
      <w:r w:rsidRPr="00107135">
        <w:t>[8]</w:t>
      </w:r>
      <w:r w:rsidRPr="00107135">
        <w:tab/>
        <w:t>Subparagraph 1.6.1—3(5)(a)(iii)(B)</w:t>
      </w:r>
    </w:p>
    <w:p w14:paraId="19FF6FC1" w14:textId="77777777" w:rsidR="00647080" w:rsidRPr="00B12CC8" w:rsidRDefault="00647080" w:rsidP="00647080">
      <w:pPr>
        <w:pStyle w:val="FSCDraftingitem"/>
      </w:pPr>
      <w:r w:rsidRPr="000229B2">
        <w:tab/>
        <w:t>Omit ‘ISO 16140:2003</w:t>
      </w:r>
      <w:r w:rsidRPr="00B12CC8">
        <w:t>’, substitute ‘ISO 16140.2:2016’</w:t>
      </w:r>
    </w:p>
    <w:p w14:paraId="776F0E16" w14:textId="77777777" w:rsidR="00647080" w:rsidRPr="00022ACD" w:rsidRDefault="00647080" w:rsidP="00647080">
      <w:pPr>
        <w:pStyle w:val="FSCh5Section"/>
      </w:pPr>
      <w:r w:rsidRPr="00022ACD">
        <w:lastRenderedPageBreak/>
        <w:t>Standard 4.2.3 –  Production and Processing Standard for Meat</w:t>
      </w:r>
    </w:p>
    <w:p w14:paraId="7A7C4D10" w14:textId="77777777" w:rsidR="00647080" w:rsidRPr="00022ACD" w:rsidRDefault="00647080" w:rsidP="00647080">
      <w:pPr>
        <w:pStyle w:val="FSCDraftingitemheading"/>
        <w:keepNext/>
      </w:pPr>
      <w:r w:rsidRPr="00022ACD">
        <w:t>[9]</w:t>
      </w:r>
      <w:r w:rsidRPr="00022ACD">
        <w:tab/>
      </w:r>
      <w:r>
        <w:t>Clause</w:t>
      </w:r>
      <w:r w:rsidRPr="00022ACD">
        <w:t xml:space="preserve"> 3</w:t>
      </w:r>
      <w:r>
        <w:t xml:space="preserve"> (definition of </w:t>
      </w:r>
      <w:r w:rsidRPr="00D56057">
        <w:rPr>
          <w:i/>
        </w:rPr>
        <w:t>HACCP plan</w:t>
      </w:r>
      <w:r>
        <w:t xml:space="preserve">) </w:t>
      </w:r>
    </w:p>
    <w:p w14:paraId="0DA54E62" w14:textId="77777777" w:rsidR="00647080" w:rsidRPr="00107135" w:rsidRDefault="00647080" w:rsidP="00647080">
      <w:pPr>
        <w:pStyle w:val="FSCDraftingitem"/>
      </w:pPr>
      <w:r w:rsidRPr="00107135">
        <w:tab/>
        <w:t>Omit ‘AS-4696-2002’, substitute ‘AS-4696-2007’</w:t>
      </w:r>
    </w:p>
    <w:p w14:paraId="19BCCAEA" w14:textId="77777777" w:rsidR="00647080" w:rsidRPr="00107135" w:rsidRDefault="00647080" w:rsidP="00647080">
      <w:pPr>
        <w:pStyle w:val="FSCDraftingitemheading"/>
        <w:keepNext/>
      </w:pPr>
      <w:r w:rsidRPr="00107135">
        <w:t>[10]</w:t>
      </w:r>
      <w:r w:rsidRPr="00107135">
        <w:tab/>
      </w:r>
      <w:r>
        <w:t xml:space="preserve">Clause </w:t>
      </w:r>
      <w:r w:rsidRPr="00107135">
        <w:t>4</w:t>
      </w:r>
      <w:r>
        <w:t xml:space="preserve"> (Table 1)</w:t>
      </w:r>
    </w:p>
    <w:p w14:paraId="7AC12728" w14:textId="77777777" w:rsidR="00647080" w:rsidRDefault="00647080" w:rsidP="00647080">
      <w:pPr>
        <w:pStyle w:val="FSCDraftingitem"/>
      </w:pPr>
      <w:r w:rsidRPr="00107135">
        <w:tab/>
        <w:t>Omit ‘AS4696-2002’, substitute ‘AS-4696-2007’</w:t>
      </w:r>
    </w:p>
    <w:p w14:paraId="5F08138E" w14:textId="77777777" w:rsidR="00647080" w:rsidRPr="00107135" w:rsidRDefault="00647080" w:rsidP="00647080">
      <w:pPr>
        <w:pStyle w:val="FSCDraftingitemheading"/>
        <w:keepNext/>
      </w:pPr>
      <w:r w:rsidRPr="00B92376">
        <w:t>[10A]</w:t>
      </w:r>
      <w:r w:rsidRPr="00107135">
        <w:tab/>
      </w:r>
      <w:r>
        <w:t xml:space="preserve">Clause </w:t>
      </w:r>
      <w:r w:rsidRPr="00107135">
        <w:t>4</w:t>
      </w:r>
      <w:r>
        <w:t xml:space="preserve"> (Editorial Note)</w:t>
      </w:r>
    </w:p>
    <w:p w14:paraId="53E30953" w14:textId="77777777" w:rsidR="00647080" w:rsidRPr="008507EE" w:rsidRDefault="00647080" w:rsidP="00647080">
      <w:pPr>
        <w:pStyle w:val="FSCDraftingitem"/>
      </w:pPr>
      <w:r w:rsidRPr="00107135">
        <w:tab/>
        <w:t>Omit ‘AS4696-2002’, substitute ‘AS-4696-2007’</w:t>
      </w:r>
    </w:p>
    <w:p w14:paraId="47E98DB8" w14:textId="77777777" w:rsidR="00647080" w:rsidRPr="00022ACD" w:rsidRDefault="00647080" w:rsidP="00647080">
      <w:pPr>
        <w:pStyle w:val="FSCh5Section"/>
      </w:pPr>
      <w:r w:rsidRPr="00022ACD">
        <w:t>Standard 4.</w:t>
      </w:r>
      <w:r>
        <w:t>2.5</w:t>
      </w:r>
      <w:r w:rsidRPr="00022ACD">
        <w:t xml:space="preserve"> – </w:t>
      </w:r>
      <w:r>
        <w:t xml:space="preserve"> Primary Production and Processing Standard for Eggs and Egg   Product</w:t>
      </w:r>
    </w:p>
    <w:p w14:paraId="65EE9A24" w14:textId="77777777" w:rsidR="00647080" w:rsidRPr="00022ACD" w:rsidRDefault="00647080" w:rsidP="00647080">
      <w:pPr>
        <w:pStyle w:val="FSCDraftingitemheading"/>
        <w:keepNext/>
      </w:pPr>
      <w:r w:rsidRPr="00022ACD">
        <w:t>[</w:t>
      </w:r>
      <w:r>
        <w:t>11</w:t>
      </w:r>
      <w:r w:rsidRPr="00022ACD">
        <w:t>]</w:t>
      </w:r>
      <w:r w:rsidRPr="00022ACD">
        <w:tab/>
      </w:r>
      <w:r>
        <w:t xml:space="preserve">Subclause 2(2) (Editorial Note after the definition of </w:t>
      </w:r>
      <w:r w:rsidRPr="00D56057">
        <w:rPr>
          <w:i/>
        </w:rPr>
        <w:t>food safety management statement</w:t>
      </w:r>
      <w:r>
        <w:t>)</w:t>
      </w:r>
    </w:p>
    <w:p w14:paraId="0D9C502A" w14:textId="77777777" w:rsidR="00647080" w:rsidRPr="00107135" w:rsidRDefault="00647080" w:rsidP="00647080">
      <w:pPr>
        <w:pStyle w:val="FSCDraftingitem"/>
      </w:pPr>
      <w:r w:rsidRPr="00107135">
        <w:tab/>
        <w:t>Omit ‘</w:t>
      </w:r>
      <w:r w:rsidRPr="005D354C">
        <w:t>draft Standard 4.1.1.</w:t>
      </w:r>
      <w:r w:rsidRPr="00107135">
        <w:t>’, substitute ‘</w:t>
      </w:r>
      <w:r w:rsidRPr="005D354C">
        <w:t>Standard 4.1.1.</w:t>
      </w:r>
      <w:r w:rsidRPr="00107135">
        <w:t>’</w:t>
      </w:r>
    </w:p>
    <w:p w14:paraId="40BC231D" w14:textId="77777777" w:rsidR="00647080" w:rsidRDefault="00647080" w:rsidP="00647080">
      <w:pPr>
        <w:pStyle w:val="FSCDraftingitemheading"/>
        <w:keepNext/>
      </w:pPr>
      <w:r w:rsidRPr="00693EAF">
        <w:t>[12]</w:t>
      </w:r>
      <w:r w:rsidRPr="00693EAF">
        <w:rPr>
          <w:b w:val="0"/>
        </w:rPr>
        <w:tab/>
      </w:r>
      <w:r w:rsidRPr="00272E43">
        <w:t>Subclause 2(2</w:t>
      </w:r>
      <w:r>
        <w:t>) (</w:t>
      </w:r>
      <w:r w:rsidRPr="00272E43">
        <w:t xml:space="preserve">Editorial Note after the definition of </w:t>
      </w:r>
      <w:r w:rsidRPr="00D56057">
        <w:rPr>
          <w:i/>
        </w:rPr>
        <w:t>unacceptable egg</w:t>
      </w:r>
      <w:r>
        <w:t>)</w:t>
      </w:r>
    </w:p>
    <w:p w14:paraId="0C9BF0CC" w14:textId="77777777" w:rsidR="00647080" w:rsidRPr="00693EAF" w:rsidRDefault="00647080" w:rsidP="00647080">
      <w:pPr>
        <w:pStyle w:val="FSCDraftingitemheading"/>
        <w:keepNext/>
        <w:ind w:firstLine="0"/>
      </w:pPr>
      <w:r w:rsidRPr="00693EAF">
        <w:rPr>
          <w:b w:val="0"/>
        </w:rPr>
        <w:t>Omit ‘</w:t>
      </w:r>
      <w:r>
        <w:rPr>
          <w:b w:val="0"/>
        </w:rPr>
        <w:t>Standard 1</w:t>
      </w:r>
      <w:r w:rsidRPr="00693EAF">
        <w:rPr>
          <w:b w:val="0"/>
        </w:rPr>
        <w:t>.1.1’, substitute ‘</w:t>
      </w:r>
      <w:r>
        <w:rPr>
          <w:b w:val="0"/>
        </w:rPr>
        <w:t>Standard 1</w:t>
      </w:r>
      <w:r w:rsidRPr="00693EAF">
        <w:rPr>
          <w:b w:val="0"/>
        </w:rPr>
        <w:t>.1.</w:t>
      </w:r>
      <w:r>
        <w:rPr>
          <w:b w:val="0"/>
        </w:rPr>
        <w:t>2</w:t>
      </w:r>
      <w:r w:rsidRPr="00693EAF">
        <w:rPr>
          <w:b w:val="0"/>
        </w:rPr>
        <w:t>’</w:t>
      </w:r>
    </w:p>
    <w:p w14:paraId="55716CBE" w14:textId="77777777" w:rsidR="00647080" w:rsidRPr="00022ACD" w:rsidRDefault="00647080" w:rsidP="00647080">
      <w:pPr>
        <w:pStyle w:val="FSCDraftingitemheading"/>
        <w:keepNext/>
      </w:pPr>
      <w:r w:rsidRPr="00022ACD">
        <w:t>[</w:t>
      </w:r>
      <w:r>
        <w:t>13</w:t>
      </w:r>
      <w:r w:rsidRPr="00022ACD">
        <w:t>]</w:t>
      </w:r>
      <w:r w:rsidRPr="00022ACD">
        <w:tab/>
      </w:r>
      <w:r>
        <w:t>Clause 23 (Editorial Note)</w:t>
      </w:r>
    </w:p>
    <w:p w14:paraId="7B659C6C" w14:textId="77777777" w:rsidR="00647080" w:rsidRPr="00107135" w:rsidRDefault="00647080" w:rsidP="00647080">
      <w:pPr>
        <w:pStyle w:val="FSCDraftingitem"/>
      </w:pPr>
      <w:r w:rsidRPr="00107135">
        <w:tab/>
        <w:t>Omit ‘</w:t>
      </w:r>
      <w:r>
        <w:t>Standard 1.2</w:t>
      </w:r>
      <w:r w:rsidRPr="005D354C">
        <w:t>.</w:t>
      </w:r>
      <w:r>
        <w:t>3</w:t>
      </w:r>
      <w:r w:rsidRPr="00107135">
        <w:t>’, substitute ‘</w:t>
      </w:r>
      <w:r>
        <w:t>Schedule 9</w:t>
      </w:r>
      <w:r w:rsidRPr="00107135">
        <w:t>’</w:t>
      </w:r>
    </w:p>
    <w:p w14:paraId="042ECE8E" w14:textId="77777777" w:rsidR="00647080" w:rsidRPr="008507EE" w:rsidRDefault="00647080" w:rsidP="00647080">
      <w:pPr>
        <w:pStyle w:val="FSCh5Section"/>
        <w:ind w:left="0" w:firstLine="0"/>
      </w:pPr>
      <w:r w:rsidRPr="008507EE">
        <w:t>Schedule 1 – RDIs and ESADDIs</w:t>
      </w:r>
    </w:p>
    <w:p w14:paraId="12B6BFAE" w14:textId="77777777" w:rsidR="00647080" w:rsidRPr="008507EE" w:rsidRDefault="00647080" w:rsidP="00647080">
      <w:pPr>
        <w:pStyle w:val="FSCDraftingitemheading"/>
      </w:pPr>
      <w:r w:rsidRPr="008507EE">
        <w:t>[1</w:t>
      </w:r>
      <w:r>
        <w:t>4</w:t>
      </w:r>
      <w:r w:rsidRPr="008507EE">
        <w:t>]</w:t>
      </w:r>
      <w:r w:rsidRPr="008507EE">
        <w:tab/>
        <w:t>Section S1—4</w:t>
      </w:r>
    </w:p>
    <w:p w14:paraId="07E4427E" w14:textId="77777777" w:rsidR="00647080" w:rsidRPr="008507EE" w:rsidRDefault="00647080" w:rsidP="00647080">
      <w:pPr>
        <w:pStyle w:val="FSCDraftingitem"/>
        <w:ind w:firstLine="851"/>
      </w:pPr>
      <w:r w:rsidRPr="008507EE">
        <w:t>Omit ‘1.1.2—14(a)’, substitute ‘1.1.2—14(3)(a)’</w:t>
      </w:r>
    </w:p>
    <w:p w14:paraId="5AD78BCD" w14:textId="77777777" w:rsidR="00647080" w:rsidRPr="008507EE" w:rsidRDefault="00647080" w:rsidP="00647080">
      <w:pPr>
        <w:pStyle w:val="FSCDraftingitemheading"/>
      </w:pPr>
      <w:r w:rsidRPr="008507EE">
        <w:t>[1</w:t>
      </w:r>
      <w:r>
        <w:t>5</w:t>
      </w:r>
      <w:r w:rsidRPr="008507EE">
        <w:t>]</w:t>
      </w:r>
      <w:r w:rsidRPr="008507EE">
        <w:tab/>
        <w:t>Section S1—5</w:t>
      </w:r>
    </w:p>
    <w:p w14:paraId="1A1B21E0" w14:textId="77777777" w:rsidR="00647080" w:rsidRPr="008507EE" w:rsidRDefault="00647080" w:rsidP="00647080">
      <w:pPr>
        <w:pStyle w:val="FSCDraftingitem"/>
        <w:ind w:firstLine="851"/>
      </w:pPr>
      <w:r w:rsidRPr="008507EE">
        <w:t>Omit ‘1.1.2—14(d)’, substitute ‘1.1.2—14(3)(c)’</w:t>
      </w:r>
    </w:p>
    <w:p w14:paraId="1DEF3F28" w14:textId="77777777" w:rsidR="00647080" w:rsidRPr="00107135" w:rsidRDefault="00647080" w:rsidP="00647080">
      <w:pPr>
        <w:pStyle w:val="FSCh5Section"/>
      </w:pPr>
      <w:r w:rsidRPr="00107135">
        <w:t>Schedule 3 – Identity and purity</w:t>
      </w:r>
    </w:p>
    <w:p w14:paraId="7E569E85" w14:textId="77777777" w:rsidR="00647080" w:rsidRPr="00107135" w:rsidRDefault="00647080" w:rsidP="00647080">
      <w:pPr>
        <w:pStyle w:val="FSCDraftingitemheading"/>
      </w:pPr>
      <w:r>
        <w:t>[16</w:t>
      </w:r>
      <w:r w:rsidRPr="00107135">
        <w:t>]</w:t>
      </w:r>
      <w:r w:rsidRPr="00107135">
        <w:tab/>
        <w:t>Paragraph S3—2(1)(b)</w:t>
      </w:r>
    </w:p>
    <w:p w14:paraId="5C0C4EF9" w14:textId="77777777" w:rsidR="00647080" w:rsidRPr="00107135" w:rsidRDefault="00647080" w:rsidP="00647080">
      <w:pPr>
        <w:pStyle w:val="FSCDraftingitem"/>
        <w:ind w:firstLine="851"/>
      </w:pPr>
      <w:r w:rsidRPr="00107135">
        <w:t>Omit</w:t>
      </w:r>
    </w:p>
    <w:p w14:paraId="5F3E8DA2" w14:textId="77777777" w:rsidR="00647080" w:rsidRPr="00107135" w:rsidRDefault="00647080" w:rsidP="00647080">
      <w:pPr>
        <w:pStyle w:val="FSCtSubpara"/>
      </w:pPr>
      <w:r w:rsidRPr="00107135">
        <w:rPr>
          <w:szCs w:val="20"/>
        </w:rPr>
        <w:tab/>
        <w:t>(xi)</w:t>
      </w:r>
      <w:r w:rsidRPr="00107135">
        <w:rPr>
          <w:szCs w:val="20"/>
        </w:rPr>
        <w:tab/>
        <w:t>FAO JECFA Monographs 19 (2016); or</w:t>
      </w:r>
    </w:p>
    <w:p w14:paraId="7DCC5E42" w14:textId="77777777" w:rsidR="00647080" w:rsidRPr="00107135" w:rsidRDefault="00647080" w:rsidP="00647080">
      <w:pPr>
        <w:pStyle w:val="FSCDraftingitem"/>
        <w:ind w:firstLine="851"/>
      </w:pPr>
      <w:r w:rsidRPr="00107135">
        <w:t>substitute</w:t>
      </w:r>
    </w:p>
    <w:p w14:paraId="24490516" w14:textId="77777777" w:rsidR="00647080" w:rsidRPr="00107135" w:rsidRDefault="00647080" w:rsidP="00647080">
      <w:pPr>
        <w:pStyle w:val="FSCtSubpara"/>
        <w:rPr>
          <w:szCs w:val="20"/>
        </w:rPr>
      </w:pPr>
      <w:r w:rsidRPr="00107135">
        <w:rPr>
          <w:szCs w:val="20"/>
        </w:rPr>
        <w:tab/>
        <w:t xml:space="preserve">(xi) </w:t>
      </w:r>
      <w:r w:rsidRPr="00107135">
        <w:rPr>
          <w:szCs w:val="20"/>
        </w:rPr>
        <w:tab/>
        <w:t>FAO JECFA Monographs 19 (2016);</w:t>
      </w:r>
    </w:p>
    <w:p w14:paraId="2054E141" w14:textId="77777777" w:rsidR="00647080" w:rsidRPr="00107135" w:rsidRDefault="00647080" w:rsidP="00647080">
      <w:pPr>
        <w:pStyle w:val="FSCtSubpara"/>
      </w:pPr>
      <w:r w:rsidRPr="00107135">
        <w:rPr>
          <w:szCs w:val="20"/>
        </w:rPr>
        <w:tab/>
        <w:t>(xi</w:t>
      </w:r>
      <w:r>
        <w:rPr>
          <w:szCs w:val="20"/>
        </w:rPr>
        <w:t>i</w:t>
      </w:r>
      <w:r w:rsidRPr="00107135">
        <w:rPr>
          <w:szCs w:val="20"/>
        </w:rPr>
        <w:t>)</w:t>
      </w:r>
      <w:r w:rsidRPr="00107135">
        <w:rPr>
          <w:szCs w:val="20"/>
        </w:rPr>
        <w:tab/>
        <w:t>FAO JECFA Monographs 20 (2017); or</w:t>
      </w:r>
    </w:p>
    <w:p w14:paraId="7352404B" w14:textId="77777777" w:rsidR="00647080" w:rsidRPr="00107135" w:rsidRDefault="00647080" w:rsidP="00647080">
      <w:pPr>
        <w:pStyle w:val="FSCDraftingitemheading"/>
      </w:pPr>
      <w:r>
        <w:t>[17</w:t>
      </w:r>
      <w:r w:rsidRPr="00107135">
        <w:t>]</w:t>
      </w:r>
      <w:r w:rsidRPr="00107135">
        <w:tab/>
        <w:t>Paragraph S3—2(1)(c)</w:t>
      </w:r>
    </w:p>
    <w:p w14:paraId="35797A9A" w14:textId="77777777" w:rsidR="00647080" w:rsidRPr="00107135" w:rsidRDefault="00647080" w:rsidP="00647080">
      <w:pPr>
        <w:pStyle w:val="FSCDraftingitem"/>
        <w:ind w:left="851"/>
      </w:pPr>
      <w:r w:rsidRPr="00107135">
        <w:t>Omit ‘(2016) Food chemicals codex. 10th ed’, substitute ‘(2018) Food chemicals codex. 11th ed’</w:t>
      </w:r>
    </w:p>
    <w:p w14:paraId="10613B71" w14:textId="77777777" w:rsidR="00647080" w:rsidRPr="00107135" w:rsidRDefault="00647080" w:rsidP="00647080">
      <w:pPr>
        <w:pStyle w:val="FSCDraftingitemheading"/>
      </w:pPr>
      <w:r>
        <w:t>[18</w:t>
      </w:r>
      <w:r w:rsidRPr="00107135">
        <w:t>]</w:t>
      </w:r>
      <w:r w:rsidRPr="00107135">
        <w:tab/>
        <w:t>Paragraph S3—3(j))</w:t>
      </w:r>
    </w:p>
    <w:p w14:paraId="7D321B30" w14:textId="77777777" w:rsidR="00647080" w:rsidRPr="00107135" w:rsidRDefault="00647080" w:rsidP="00647080">
      <w:pPr>
        <w:pStyle w:val="FSCDraftingitem"/>
        <w:ind w:firstLine="851"/>
      </w:pPr>
      <w:r w:rsidRPr="00107135">
        <w:t>Omit ‘(2017)’, substitute ‘(2018)’</w:t>
      </w:r>
    </w:p>
    <w:p w14:paraId="064A0909" w14:textId="77777777" w:rsidR="00647080" w:rsidRPr="00107135" w:rsidRDefault="00647080" w:rsidP="00647080">
      <w:pPr>
        <w:pStyle w:val="FSCDraftingitemheading"/>
      </w:pPr>
      <w:r w:rsidRPr="00107135">
        <w:t>[1</w:t>
      </w:r>
      <w:r>
        <w:t>9</w:t>
      </w:r>
      <w:r w:rsidRPr="00107135">
        <w:t>]</w:t>
      </w:r>
      <w:r w:rsidRPr="00107135">
        <w:tab/>
        <w:t xml:space="preserve">Paragraph S3—28(2)(a) </w:t>
      </w:r>
    </w:p>
    <w:p w14:paraId="614956D7" w14:textId="77777777" w:rsidR="00647080" w:rsidRPr="008507EE" w:rsidRDefault="00647080" w:rsidP="00647080">
      <w:pPr>
        <w:pStyle w:val="FSCDraftingitem"/>
        <w:ind w:firstLine="851"/>
      </w:pPr>
      <w:r w:rsidRPr="00107135">
        <w:t>Omit ‘mg/kg’, substitute ‘mg/g’</w:t>
      </w:r>
    </w:p>
    <w:p w14:paraId="55955543" w14:textId="77777777" w:rsidR="00647080" w:rsidRPr="008507EE" w:rsidRDefault="00647080" w:rsidP="00647080">
      <w:pPr>
        <w:pStyle w:val="FSCh5Section"/>
      </w:pPr>
      <w:r w:rsidRPr="008507EE">
        <w:t>Schedule 11 – Calculation of values for nutrition information panel</w:t>
      </w:r>
    </w:p>
    <w:p w14:paraId="5CF4DF67" w14:textId="77777777" w:rsidR="00647080" w:rsidRPr="008507EE" w:rsidRDefault="00647080" w:rsidP="00647080">
      <w:pPr>
        <w:pStyle w:val="FSCDraftingitemheading"/>
      </w:pPr>
      <w:r>
        <w:t>[20</w:t>
      </w:r>
      <w:r w:rsidRPr="008507EE">
        <w:t>]</w:t>
      </w:r>
      <w:r w:rsidRPr="008507EE">
        <w:tab/>
        <w:t xml:space="preserve">Section </w:t>
      </w:r>
      <w:r>
        <w:t>S</w:t>
      </w:r>
      <w:r w:rsidRPr="008507EE">
        <w:t>11—4</w:t>
      </w:r>
    </w:p>
    <w:p w14:paraId="392B5A1F" w14:textId="77777777" w:rsidR="00647080" w:rsidRPr="008507EE" w:rsidRDefault="00647080" w:rsidP="00647080">
      <w:pPr>
        <w:pStyle w:val="FSCDraftingitem"/>
        <w:ind w:firstLine="851"/>
      </w:pPr>
      <w:r w:rsidRPr="008507EE">
        <w:t>Omit subsections (2) and (3), substitute</w:t>
      </w:r>
    </w:p>
    <w:p w14:paraId="4F2D19B9" w14:textId="77777777" w:rsidR="00647080" w:rsidRPr="008507EE" w:rsidRDefault="00647080" w:rsidP="00647080">
      <w:pPr>
        <w:pStyle w:val="FSCtMain"/>
      </w:pPr>
      <w:r w:rsidRPr="008507EE">
        <w:lastRenderedPageBreak/>
        <w:tab/>
        <w:t>(2)</w:t>
      </w:r>
      <w:r w:rsidRPr="008507EE">
        <w:tab/>
        <w:t>The total *dietary fibre, and amount of any specifically named fibre, in a food must be determined in accordance with any one or more of the methods contained in following sections of the AOAC:</w:t>
      </w:r>
    </w:p>
    <w:p w14:paraId="1040AC78" w14:textId="77777777" w:rsidR="00647080" w:rsidRPr="008507EE" w:rsidRDefault="00647080" w:rsidP="00647080">
      <w:pPr>
        <w:pStyle w:val="FSCtPara"/>
      </w:pPr>
      <w:r w:rsidRPr="008507EE">
        <w:tab/>
        <w:t>(a)</w:t>
      </w:r>
      <w:r w:rsidRPr="008507EE">
        <w:tab/>
        <w:t>for dietary fibre—sections 985.29 or 991.43;</w:t>
      </w:r>
    </w:p>
    <w:p w14:paraId="1C253E67" w14:textId="77777777" w:rsidR="00647080" w:rsidRPr="008507EE" w:rsidRDefault="00647080" w:rsidP="00647080">
      <w:pPr>
        <w:pStyle w:val="FSCtPara"/>
      </w:pPr>
      <w:r w:rsidRPr="008507EE">
        <w:tab/>
        <w:t>(b)</w:t>
      </w:r>
      <w:r w:rsidRPr="008507EE">
        <w:tab/>
        <w:t>for dietary fibre (including all resistant maltodextrins)—section 2001.03;</w:t>
      </w:r>
    </w:p>
    <w:p w14:paraId="5BD7C1D8" w14:textId="77777777" w:rsidR="00647080" w:rsidRPr="008507EE" w:rsidRDefault="00647080" w:rsidP="00647080">
      <w:pPr>
        <w:pStyle w:val="FSCtPara"/>
      </w:pPr>
      <w:r w:rsidRPr="008507EE">
        <w:tab/>
        <w:t>(c)</w:t>
      </w:r>
      <w:r w:rsidRPr="008507EE">
        <w:tab/>
        <w:t>for inulin and fructooligosaccharide—section 997.08;</w:t>
      </w:r>
    </w:p>
    <w:p w14:paraId="7F345FCB" w14:textId="77777777" w:rsidR="00647080" w:rsidRPr="008507EE" w:rsidRDefault="00647080" w:rsidP="00647080">
      <w:pPr>
        <w:pStyle w:val="FSCtPara"/>
      </w:pPr>
      <w:r w:rsidRPr="008507EE">
        <w:tab/>
        <w:t>(d)</w:t>
      </w:r>
      <w:r w:rsidRPr="008507EE">
        <w:tab/>
        <w:t>for inulin—section 999.03;</w:t>
      </w:r>
    </w:p>
    <w:p w14:paraId="174BF745" w14:textId="77777777" w:rsidR="00647080" w:rsidRDefault="00647080" w:rsidP="00647080">
      <w:pPr>
        <w:pStyle w:val="FSCtPara"/>
      </w:pPr>
      <w:r>
        <w:tab/>
      </w:r>
      <w:r w:rsidRPr="001D1563">
        <w:t>(e)</w:t>
      </w:r>
      <w:r w:rsidRPr="001D1563">
        <w:tab/>
        <w:t>for polydextrose—section 2000.11</w:t>
      </w:r>
      <w:r>
        <w:t>;</w:t>
      </w:r>
    </w:p>
    <w:p w14:paraId="5859C3BE" w14:textId="77777777" w:rsidR="00647080" w:rsidRPr="008507EE" w:rsidRDefault="00647080" w:rsidP="00647080">
      <w:pPr>
        <w:pStyle w:val="FSCtPara"/>
      </w:pPr>
      <w:r>
        <w:tab/>
        <w:t>(f)</w:t>
      </w:r>
      <w:r>
        <w:tab/>
        <w:t>for resistant starch</w:t>
      </w:r>
      <w:r w:rsidRPr="001D1563">
        <w:t>—</w:t>
      </w:r>
      <w:r>
        <w:t>section 2002.02</w:t>
      </w:r>
      <w:r w:rsidRPr="008507EE">
        <w:t>.</w:t>
      </w:r>
    </w:p>
    <w:p w14:paraId="06B73A47" w14:textId="77777777" w:rsidR="00647080" w:rsidRPr="008507EE" w:rsidRDefault="00647080" w:rsidP="00647080">
      <w:pPr>
        <w:pStyle w:val="FSCtMain"/>
      </w:pPr>
      <w:r w:rsidRPr="008507EE">
        <w:tab/>
        <w:t>(3)</w:t>
      </w:r>
      <w:r w:rsidRPr="008507EE">
        <w:tab/>
        <w:t>If the dietary fibre content of a food has been determined by more than 1 method of analysis, the total dietary fibre content is calculated by:</w:t>
      </w:r>
    </w:p>
    <w:p w14:paraId="3E4358A3" w14:textId="77777777" w:rsidR="00647080" w:rsidRPr="008507EE" w:rsidRDefault="00647080" w:rsidP="00647080">
      <w:pPr>
        <w:pStyle w:val="FSCtPara"/>
      </w:pPr>
      <w:r w:rsidRPr="008507EE">
        <w:tab/>
        <w:t>(a)</w:t>
      </w:r>
      <w:r w:rsidRPr="008507EE">
        <w:tab/>
        <w:t>adding together the results from each method of analysis; and</w:t>
      </w:r>
    </w:p>
    <w:p w14:paraId="38AC2A73" w14:textId="77777777" w:rsidR="00647080" w:rsidRPr="008507EE" w:rsidRDefault="00647080" w:rsidP="00647080">
      <w:pPr>
        <w:pStyle w:val="FSCtPara"/>
      </w:pPr>
      <w:r w:rsidRPr="008507EE">
        <w:tab/>
        <w:t>(b)</w:t>
      </w:r>
      <w:r w:rsidRPr="008507EE">
        <w:tab/>
        <w:t>subtracting any portion of dietary fibre which has been included in the results of more than one method of analysis.</w:t>
      </w:r>
    </w:p>
    <w:p w14:paraId="3FE55153" w14:textId="77777777" w:rsidR="00647080" w:rsidRPr="008507EE" w:rsidRDefault="00647080" w:rsidP="00647080">
      <w:pPr>
        <w:pStyle w:val="FSCh5Section"/>
      </w:pPr>
      <w:r w:rsidRPr="008507EE">
        <w:t>Schedule 15 – Substances that may be used as food additives</w:t>
      </w:r>
    </w:p>
    <w:p w14:paraId="5B6DA4EF" w14:textId="77777777" w:rsidR="00647080" w:rsidRPr="008507EE" w:rsidRDefault="00647080" w:rsidP="00647080">
      <w:pPr>
        <w:pStyle w:val="FSCDraftingitemheading"/>
      </w:pPr>
      <w:r>
        <w:t>[21</w:t>
      </w:r>
      <w:r w:rsidRPr="008507EE">
        <w:t>]</w:t>
      </w:r>
      <w:r w:rsidRPr="008507EE">
        <w:tab/>
      </w:r>
      <w:r>
        <w:t>S</w:t>
      </w:r>
      <w:r w:rsidRPr="008507EE">
        <w:t xml:space="preserve">ection </w:t>
      </w:r>
      <w:r>
        <w:t>S</w:t>
      </w:r>
      <w:r w:rsidRPr="008507EE">
        <w:t>15—5</w:t>
      </w:r>
      <w:r>
        <w:t xml:space="preserve"> (table)</w:t>
      </w:r>
    </w:p>
    <w:p w14:paraId="185D3F1E" w14:textId="77777777" w:rsidR="00647080" w:rsidRPr="008507EE" w:rsidRDefault="00647080" w:rsidP="00647080">
      <w:pPr>
        <w:pStyle w:val="FSCDraftingitem"/>
        <w:ind w:left="851"/>
      </w:pPr>
      <w:r w:rsidRPr="008507EE">
        <w:t>Omit ‘9.3.2’, substitute ‘9.3.1’</w:t>
      </w:r>
    </w:p>
    <w:p w14:paraId="4C4B10A7" w14:textId="77777777" w:rsidR="00647080" w:rsidRPr="008507EE" w:rsidRDefault="00647080" w:rsidP="00647080">
      <w:pPr>
        <w:pStyle w:val="FSCh5Section"/>
      </w:pPr>
      <w:r w:rsidRPr="008507EE">
        <w:t>Schedule 18 – Processing aids</w:t>
      </w:r>
    </w:p>
    <w:p w14:paraId="76CABDB1" w14:textId="77777777" w:rsidR="00647080" w:rsidRPr="008507EE" w:rsidRDefault="00647080" w:rsidP="00647080">
      <w:pPr>
        <w:pStyle w:val="FSCDraftingitemheading"/>
      </w:pPr>
      <w:r w:rsidRPr="008507EE">
        <w:t>[</w:t>
      </w:r>
      <w:r>
        <w:t>22</w:t>
      </w:r>
      <w:r w:rsidRPr="008507EE">
        <w:t>]</w:t>
      </w:r>
      <w:r w:rsidRPr="008507EE">
        <w:tab/>
        <w:t>Section S18—3</w:t>
      </w:r>
    </w:p>
    <w:p w14:paraId="5ADC2623" w14:textId="77777777" w:rsidR="00647080" w:rsidRDefault="00647080" w:rsidP="00647080">
      <w:pPr>
        <w:pStyle w:val="FSCDraftingitem"/>
        <w:ind w:left="851"/>
      </w:pPr>
      <w:r w:rsidRPr="008507EE">
        <w:t xml:space="preserve">Omit 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1"/>
        <w:gridCol w:w="2681"/>
      </w:tblGrid>
      <w:tr w:rsidR="00647080" w:rsidRPr="00DE26F8" w14:paraId="15339B8F" w14:textId="77777777" w:rsidTr="00873935">
        <w:trPr>
          <w:cantSplit/>
          <w:jc w:val="center"/>
        </w:trPr>
        <w:tc>
          <w:tcPr>
            <w:tcW w:w="6391" w:type="dxa"/>
            <w:tcBorders>
              <w:bottom w:val="single" w:sz="4" w:space="0" w:color="auto"/>
            </w:tcBorders>
          </w:tcPr>
          <w:p w14:paraId="4AAFE9DA" w14:textId="77777777" w:rsidR="00647080" w:rsidRPr="00DE26F8" w:rsidRDefault="00647080" w:rsidP="00873935">
            <w:pPr>
              <w:pStyle w:val="FSCtblMain"/>
            </w:pPr>
            <w:r w:rsidRPr="00DE26F8">
              <w:t>Dimethyldialkylammonium chloride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59AB2191" w14:textId="77777777" w:rsidR="00647080" w:rsidRPr="00DE26F8" w:rsidRDefault="00647080" w:rsidP="00873935">
            <w:pPr>
              <w:pStyle w:val="FSCtblMain"/>
            </w:pPr>
            <w:r w:rsidRPr="00DE26F8">
              <w:t>GMP</w:t>
            </w:r>
          </w:p>
        </w:tc>
      </w:tr>
      <w:tr w:rsidR="00647080" w:rsidRPr="00DE26F8" w14:paraId="6C17AEDC" w14:textId="77777777" w:rsidTr="00873935">
        <w:trPr>
          <w:cantSplit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3754B" w14:textId="77777777" w:rsidR="00647080" w:rsidRPr="00DE26F8" w:rsidRDefault="00647080" w:rsidP="00873935">
            <w:pPr>
              <w:pStyle w:val="FSCtblh4"/>
            </w:pPr>
            <w:r w:rsidRPr="00DE26F8">
              <w:t xml:space="preserve">Technological purpose—decolourants, clarifying, filtration and adsorbent agents </w:t>
            </w:r>
          </w:p>
        </w:tc>
      </w:tr>
    </w:tbl>
    <w:p w14:paraId="639C2E6C" w14:textId="77777777" w:rsidR="00647080" w:rsidRDefault="00647080" w:rsidP="00647080">
      <w:pPr>
        <w:pStyle w:val="FSCDraftingitem"/>
        <w:ind w:left="851"/>
      </w:pPr>
      <w:r>
        <w:t xml:space="preserve">Substitute 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1"/>
        <w:gridCol w:w="2681"/>
      </w:tblGrid>
      <w:tr w:rsidR="00647080" w:rsidRPr="00DE26F8" w14:paraId="4C1ACD14" w14:textId="77777777" w:rsidTr="00873935">
        <w:trPr>
          <w:cantSplit/>
          <w:jc w:val="center"/>
        </w:trPr>
        <w:tc>
          <w:tcPr>
            <w:tcW w:w="6391" w:type="dxa"/>
          </w:tcPr>
          <w:p w14:paraId="79ADD2DA" w14:textId="77777777" w:rsidR="00647080" w:rsidRPr="00DE26F8" w:rsidRDefault="00647080" w:rsidP="00873935">
            <w:pPr>
              <w:pStyle w:val="FSCtblMain"/>
            </w:pPr>
            <w:r w:rsidRPr="00DE26F8">
              <w:t>Dimethyldialkylammonium chloride</w:t>
            </w:r>
          </w:p>
        </w:tc>
        <w:tc>
          <w:tcPr>
            <w:tcW w:w="2681" w:type="dxa"/>
          </w:tcPr>
          <w:p w14:paraId="1C7EEB6F" w14:textId="77777777" w:rsidR="00647080" w:rsidRPr="00DE26F8" w:rsidRDefault="00647080" w:rsidP="00873935">
            <w:pPr>
              <w:pStyle w:val="FSCtblMain"/>
            </w:pPr>
            <w:r w:rsidRPr="00DE26F8">
              <w:t>GMP</w:t>
            </w:r>
          </w:p>
        </w:tc>
      </w:tr>
    </w:tbl>
    <w:p w14:paraId="3B3A443E" w14:textId="77777777" w:rsidR="00647080" w:rsidRPr="008507EE" w:rsidRDefault="00647080" w:rsidP="00647080">
      <w:pPr>
        <w:pStyle w:val="FSCDraftingitem"/>
      </w:pPr>
    </w:p>
    <w:p w14:paraId="4558DF68" w14:textId="77777777" w:rsidR="00647080" w:rsidRPr="008507EE" w:rsidRDefault="00647080" w:rsidP="00647080">
      <w:pPr>
        <w:pStyle w:val="FSCDraftingitemheading"/>
      </w:pPr>
      <w:r w:rsidRPr="008507EE">
        <w:t>[</w:t>
      </w:r>
      <w:r>
        <w:t>23</w:t>
      </w:r>
      <w:r w:rsidRPr="008507EE">
        <w:t>]</w:t>
      </w:r>
      <w:r w:rsidRPr="008507EE">
        <w:tab/>
        <w:t>Subsection S18—9(3)</w:t>
      </w:r>
      <w:r>
        <w:t xml:space="preserve"> (Heading to the table)</w:t>
      </w:r>
    </w:p>
    <w:p w14:paraId="7D7F6D4C" w14:textId="77777777" w:rsidR="00647080" w:rsidRDefault="00647080" w:rsidP="00647080">
      <w:pPr>
        <w:pStyle w:val="FSCDraftingitem"/>
        <w:ind w:left="851"/>
      </w:pPr>
      <w:r w:rsidRPr="008507EE">
        <w:t>Omit</w:t>
      </w:r>
      <w:r>
        <w:t xml:space="preserve"> ‘</w:t>
      </w:r>
      <w:r w:rsidRPr="008507EE">
        <w:t>Technological purpose</w:t>
      </w:r>
      <w:r>
        <w:t>” wherever occurring, substitute ‘</w:t>
      </w:r>
      <w:r w:rsidRPr="008507EE">
        <w:t>Technological purpose and food</w:t>
      </w:r>
      <w:r>
        <w:t>’</w:t>
      </w:r>
    </w:p>
    <w:p w14:paraId="1C90F89E" w14:textId="77777777" w:rsidR="00647080" w:rsidRPr="008507EE" w:rsidRDefault="00647080" w:rsidP="00647080">
      <w:pPr>
        <w:pStyle w:val="FSCDraftingitemheading"/>
      </w:pPr>
      <w:r w:rsidRPr="008507EE">
        <w:t>[</w:t>
      </w:r>
      <w:r>
        <w:t>23A</w:t>
      </w:r>
      <w:r w:rsidRPr="008507EE">
        <w:t>]</w:t>
      </w:r>
      <w:r w:rsidRPr="008507EE">
        <w:tab/>
        <w:t>Subsection S18—9(3)</w:t>
      </w:r>
      <w:r>
        <w:t xml:space="preserve"> (Heading to the table)</w:t>
      </w:r>
    </w:p>
    <w:p w14:paraId="009E908E" w14:textId="77777777" w:rsidR="00647080" w:rsidRDefault="00647080" w:rsidP="00647080">
      <w:pPr>
        <w:pStyle w:val="FSCDraftingitem"/>
        <w:ind w:left="851"/>
      </w:pPr>
      <w:r w:rsidRPr="008507EE">
        <w:t>Omit</w:t>
      </w:r>
      <w:r>
        <w:t xml:space="preserve"> ‘</w:t>
      </w:r>
      <w:r w:rsidRPr="008507EE">
        <w:t>Maximum permitted and food level (mg/kg)</w:t>
      </w:r>
      <w:r>
        <w:t>’ wherever occurring, substitute ‘</w:t>
      </w:r>
      <w:r w:rsidRPr="008507EE">
        <w:t>Maximum permitted level (mg/kg)</w:t>
      </w:r>
      <w:r>
        <w:t>’</w:t>
      </w:r>
    </w:p>
    <w:p w14:paraId="5E1C522E" w14:textId="77777777" w:rsidR="00647080" w:rsidRPr="008507EE" w:rsidRDefault="00647080" w:rsidP="00647080">
      <w:pPr>
        <w:pStyle w:val="FSCh5Section"/>
      </w:pPr>
      <w:r w:rsidRPr="008507EE">
        <w:t>Schedule 26 – Food produced using gene technology</w:t>
      </w:r>
    </w:p>
    <w:p w14:paraId="7F898A32" w14:textId="77777777" w:rsidR="00647080" w:rsidRPr="008507EE" w:rsidRDefault="00647080" w:rsidP="00647080">
      <w:pPr>
        <w:pStyle w:val="FSCDraftingitemheading"/>
      </w:pPr>
      <w:r w:rsidRPr="008507EE">
        <w:t>[</w:t>
      </w:r>
      <w:r>
        <w:t>24</w:t>
      </w:r>
      <w:r w:rsidRPr="008507EE">
        <w:t>]</w:t>
      </w:r>
      <w:r w:rsidRPr="008507EE">
        <w:tab/>
      </w:r>
      <w:r>
        <w:t>S</w:t>
      </w:r>
      <w:r w:rsidRPr="008507EE">
        <w:t>ubsection S26—3(4)</w:t>
      </w:r>
      <w:r>
        <w:t xml:space="preserve"> (Item 1(g) of the table)</w:t>
      </w:r>
    </w:p>
    <w:p w14:paraId="5A87A383" w14:textId="77777777" w:rsidR="00647080" w:rsidRPr="008507EE" w:rsidRDefault="00647080" w:rsidP="00647080">
      <w:pPr>
        <w:pStyle w:val="FSCDraftingitem"/>
        <w:ind w:left="851"/>
      </w:pPr>
      <w:r w:rsidRPr="008507EE">
        <w:t>Omit ‘products’, substitute ‘products (see subsection (2))’</w:t>
      </w:r>
    </w:p>
    <w:p w14:paraId="2098C277" w14:textId="77777777" w:rsidR="00647080" w:rsidRPr="008507EE" w:rsidRDefault="00647080" w:rsidP="00647080">
      <w:pPr>
        <w:pStyle w:val="FSCDraftingitemheading"/>
      </w:pPr>
      <w:r>
        <w:t>[25</w:t>
      </w:r>
      <w:r w:rsidRPr="008507EE">
        <w:t>]</w:t>
      </w:r>
      <w:r w:rsidRPr="008507EE">
        <w:tab/>
      </w:r>
      <w:r>
        <w:t>S</w:t>
      </w:r>
      <w:r w:rsidRPr="008507EE">
        <w:t>ubsection S26—3(4)</w:t>
      </w:r>
      <w:r>
        <w:t xml:space="preserve"> (Item 6(b) of the table)</w:t>
      </w:r>
    </w:p>
    <w:p w14:paraId="1F691BF6" w14:textId="77777777" w:rsidR="00647080" w:rsidRPr="008507EE" w:rsidRDefault="00647080" w:rsidP="00647080">
      <w:pPr>
        <w:pStyle w:val="FSCDraftingitem"/>
        <w:ind w:left="851"/>
      </w:pPr>
      <w:r w:rsidRPr="008507EE">
        <w:t>Omit ‘GR2E’, substitute ‘GR2E (see subsection (2A))’</w:t>
      </w:r>
    </w:p>
    <w:p w14:paraId="1E625FD8" w14:textId="77777777" w:rsidR="00647080" w:rsidRPr="008507EE" w:rsidRDefault="00647080" w:rsidP="00647080">
      <w:pPr>
        <w:pStyle w:val="FSCDraftingitem"/>
        <w:rPr>
          <w:b/>
          <w:sz w:val="22"/>
          <w:szCs w:val="22"/>
        </w:rPr>
      </w:pPr>
      <w:r w:rsidRPr="008507EE">
        <w:rPr>
          <w:b/>
          <w:sz w:val="22"/>
          <w:szCs w:val="22"/>
        </w:rPr>
        <w:t>Schedule 29 – Special purpose foods</w:t>
      </w:r>
    </w:p>
    <w:p w14:paraId="3F03B324" w14:textId="77777777" w:rsidR="00647080" w:rsidRPr="008507EE" w:rsidRDefault="00647080" w:rsidP="00647080">
      <w:pPr>
        <w:pStyle w:val="FSCDraftingitemheading"/>
      </w:pPr>
      <w:r w:rsidRPr="008507EE">
        <w:t>[</w:t>
      </w:r>
      <w:r>
        <w:t>26</w:t>
      </w:r>
      <w:r w:rsidRPr="008507EE">
        <w:t>]</w:t>
      </w:r>
      <w:r w:rsidRPr="008507EE">
        <w:tab/>
        <w:t>Subsection S29—14(1)</w:t>
      </w:r>
    </w:p>
    <w:p w14:paraId="0BFC4579" w14:textId="77777777" w:rsidR="00647080" w:rsidRPr="008507EE" w:rsidRDefault="00647080" w:rsidP="00647080">
      <w:pPr>
        <w:pStyle w:val="FSCDraftingitem"/>
        <w:ind w:left="851"/>
      </w:pPr>
      <w:r w:rsidRPr="008507EE">
        <w:t>Omit ‘section 2.9.3—5’, substitute ‘sections 2.9.3—5 and 2.9.3—6’</w:t>
      </w:r>
    </w:p>
    <w:p w14:paraId="6801DAD1" w14:textId="77777777" w:rsidR="00647080" w:rsidRPr="008507EE" w:rsidRDefault="00647080" w:rsidP="00647080">
      <w:pPr>
        <w:pStyle w:val="FSCDraftingitemheading"/>
      </w:pPr>
      <w:r w:rsidRPr="008507EE">
        <w:t>[</w:t>
      </w:r>
      <w:r>
        <w:t>27</w:t>
      </w:r>
      <w:r w:rsidRPr="008507EE">
        <w:t>]</w:t>
      </w:r>
      <w:r w:rsidRPr="008507EE">
        <w:tab/>
      </w:r>
      <w:r>
        <w:t>S</w:t>
      </w:r>
      <w:r w:rsidRPr="008507EE">
        <w:t>ection S29—20</w:t>
      </w:r>
      <w:r>
        <w:t xml:space="preserve"> (table)</w:t>
      </w:r>
    </w:p>
    <w:p w14:paraId="2A34760B" w14:textId="77777777" w:rsidR="00647080" w:rsidRPr="008507EE" w:rsidRDefault="00647080" w:rsidP="00647080">
      <w:pPr>
        <w:pStyle w:val="FSCDraftingitem"/>
        <w:ind w:left="851"/>
      </w:pPr>
      <w:r w:rsidRPr="008507EE">
        <w:lastRenderedPageBreak/>
        <w:t xml:space="preserve">Omit 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080" w:rsidRPr="008507EE" w14:paraId="7C85E456" w14:textId="77777777" w:rsidTr="00873935">
        <w:trPr>
          <w:cantSplit/>
          <w:jc w:val="center"/>
        </w:trPr>
        <w:tc>
          <w:tcPr>
            <w:tcW w:w="3969" w:type="dxa"/>
          </w:tcPr>
          <w:p w14:paraId="39A14FF9" w14:textId="77777777" w:rsidR="00647080" w:rsidRPr="008507EE" w:rsidRDefault="00647080" w:rsidP="00873935">
            <w:pPr>
              <w:pStyle w:val="FSCtblMain"/>
            </w:pPr>
            <w:r w:rsidRPr="008507EE">
              <w:t>L-cystine</w:t>
            </w:r>
          </w:p>
        </w:tc>
      </w:tr>
      <w:tr w:rsidR="00647080" w:rsidRPr="008507EE" w14:paraId="04DF4B46" w14:textId="77777777" w:rsidTr="00873935">
        <w:trPr>
          <w:cantSplit/>
          <w:jc w:val="center"/>
        </w:trPr>
        <w:tc>
          <w:tcPr>
            <w:tcW w:w="3969" w:type="dxa"/>
          </w:tcPr>
          <w:p w14:paraId="3795B220" w14:textId="77777777" w:rsidR="00647080" w:rsidRPr="008507EE" w:rsidRDefault="00647080" w:rsidP="00873935">
            <w:pPr>
              <w:pStyle w:val="FSCtblMain"/>
            </w:pPr>
          </w:p>
        </w:tc>
      </w:tr>
      <w:tr w:rsidR="00647080" w:rsidRPr="008507EE" w14:paraId="0436A26F" w14:textId="77777777" w:rsidTr="00873935">
        <w:trPr>
          <w:cantSplit/>
          <w:jc w:val="center"/>
        </w:trPr>
        <w:tc>
          <w:tcPr>
            <w:tcW w:w="3969" w:type="dxa"/>
          </w:tcPr>
          <w:p w14:paraId="05576126" w14:textId="77777777" w:rsidR="00647080" w:rsidRPr="008507EE" w:rsidRDefault="00647080" w:rsidP="00873935">
            <w:pPr>
              <w:pStyle w:val="FSCtblMain"/>
            </w:pPr>
            <w:r w:rsidRPr="008507EE">
              <w:t>L-glutamic acid</w:t>
            </w:r>
          </w:p>
        </w:tc>
      </w:tr>
    </w:tbl>
    <w:p w14:paraId="3F023592" w14:textId="77777777" w:rsidR="00647080" w:rsidRPr="008507EE" w:rsidRDefault="00647080" w:rsidP="00647080">
      <w:pPr>
        <w:rPr>
          <w:b/>
        </w:rPr>
      </w:pPr>
      <w:r w:rsidRPr="008507EE">
        <w:tab/>
      </w:r>
    </w:p>
    <w:p w14:paraId="52CDF330" w14:textId="77777777" w:rsidR="00647080" w:rsidRPr="008507EE" w:rsidRDefault="00647080" w:rsidP="00647080">
      <w:r w:rsidRPr="008507EE">
        <w:tab/>
        <w:t>Substitute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7080" w:rsidRPr="008507EE" w14:paraId="467B7238" w14:textId="77777777" w:rsidTr="00873935">
        <w:trPr>
          <w:cantSplit/>
          <w:jc w:val="center"/>
        </w:trPr>
        <w:tc>
          <w:tcPr>
            <w:tcW w:w="3969" w:type="dxa"/>
          </w:tcPr>
          <w:p w14:paraId="41F7476A" w14:textId="77777777" w:rsidR="00647080" w:rsidRPr="008507EE" w:rsidRDefault="00647080" w:rsidP="00873935">
            <w:pPr>
              <w:pStyle w:val="FSCtblMain"/>
            </w:pPr>
            <w:r w:rsidRPr="008507EE">
              <w:t>L-cystine</w:t>
            </w:r>
          </w:p>
        </w:tc>
      </w:tr>
      <w:tr w:rsidR="00647080" w:rsidRPr="007439CB" w14:paraId="1E94E197" w14:textId="77777777" w:rsidTr="00873935">
        <w:trPr>
          <w:cantSplit/>
          <w:jc w:val="center"/>
        </w:trPr>
        <w:tc>
          <w:tcPr>
            <w:tcW w:w="3969" w:type="dxa"/>
          </w:tcPr>
          <w:p w14:paraId="08D9977A" w14:textId="77777777" w:rsidR="00647080" w:rsidRPr="007439CB" w:rsidRDefault="00647080" w:rsidP="00873935">
            <w:pPr>
              <w:pStyle w:val="FSCtblMain"/>
            </w:pPr>
            <w:r w:rsidRPr="008507EE">
              <w:rPr>
                <w:szCs w:val="18"/>
              </w:rPr>
              <w:t>L-glutamic acid</w:t>
            </w:r>
          </w:p>
        </w:tc>
      </w:tr>
    </w:tbl>
    <w:p w14:paraId="3782B898" w14:textId="2F37F617" w:rsidR="00CC0574" w:rsidRPr="0041629A" w:rsidRDefault="00CC0574" w:rsidP="00647080">
      <w:pPr>
        <w:widowControl/>
        <w:tabs>
          <w:tab w:val="clear" w:pos="851"/>
        </w:tabs>
        <w:rPr>
          <w:lang w:val="en-AU" w:eastAsia="en-GB"/>
        </w:rPr>
      </w:pPr>
    </w:p>
    <w:sectPr w:rsidR="00CC0574" w:rsidRPr="0041629A" w:rsidSect="006359D9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4B71" w14:textId="77777777" w:rsidR="00B822A6" w:rsidRDefault="00B822A6">
      <w:r>
        <w:separator/>
      </w:r>
    </w:p>
    <w:p w14:paraId="269C2078" w14:textId="77777777" w:rsidR="00B822A6" w:rsidRDefault="00B822A6"/>
  </w:endnote>
  <w:endnote w:type="continuationSeparator" w:id="0">
    <w:p w14:paraId="797DBF06" w14:textId="77777777" w:rsidR="00B822A6" w:rsidRDefault="00B822A6">
      <w:r>
        <w:continuationSeparator/>
      </w:r>
    </w:p>
    <w:p w14:paraId="6816458F" w14:textId="77777777" w:rsidR="00B822A6" w:rsidRDefault="00B82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B43F7" w14:textId="77777777" w:rsidR="00B822A6" w:rsidRDefault="00B822A6">
      <w:r>
        <w:separator/>
      </w:r>
    </w:p>
    <w:p w14:paraId="5C5B0118" w14:textId="77777777" w:rsidR="00B822A6" w:rsidRDefault="00B822A6"/>
  </w:footnote>
  <w:footnote w:type="continuationSeparator" w:id="0">
    <w:p w14:paraId="5338729F" w14:textId="77777777" w:rsidR="00B822A6" w:rsidRDefault="00B822A6">
      <w:r>
        <w:continuationSeparator/>
      </w:r>
    </w:p>
    <w:p w14:paraId="37921727" w14:textId="77777777" w:rsidR="00B822A6" w:rsidRDefault="00B822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94846"/>
    <w:multiLevelType w:val="hybridMultilevel"/>
    <w:tmpl w:val="D7C671AE"/>
    <w:lvl w:ilvl="0" w:tplc="FDDED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E"/>
    <w:rsid w:val="0000026C"/>
    <w:rsid w:val="00004EFD"/>
    <w:rsid w:val="000055C4"/>
    <w:rsid w:val="00007471"/>
    <w:rsid w:val="000110B3"/>
    <w:rsid w:val="00013F78"/>
    <w:rsid w:val="00017AAF"/>
    <w:rsid w:val="00037032"/>
    <w:rsid w:val="00037A78"/>
    <w:rsid w:val="0004486E"/>
    <w:rsid w:val="00047082"/>
    <w:rsid w:val="000500F7"/>
    <w:rsid w:val="0005148E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0F64FE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454CA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26D8"/>
    <w:rsid w:val="0019777C"/>
    <w:rsid w:val="001A259F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C779C"/>
    <w:rsid w:val="001D0220"/>
    <w:rsid w:val="001D0547"/>
    <w:rsid w:val="001D0A0A"/>
    <w:rsid w:val="001D3B1D"/>
    <w:rsid w:val="001E3222"/>
    <w:rsid w:val="001E4CA2"/>
    <w:rsid w:val="001E50C7"/>
    <w:rsid w:val="001E52A6"/>
    <w:rsid w:val="001E5517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272AD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942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B4C21"/>
    <w:rsid w:val="002C1F11"/>
    <w:rsid w:val="002C2286"/>
    <w:rsid w:val="002C45CB"/>
    <w:rsid w:val="002D12D6"/>
    <w:rsid w:val="002D1329"/>
    <w:rsid w:val="002D2B78"/>
    <w:rsid w:val="002E014B"/>
    <w:rsid w:val="002E12C3"/>
    <w:rsid w:val="002F09D4"/>
    <w:rsid w:val="002F1563"/>
    <w:rsid w:val="0030064B"/>
    <w:rsid w:val="003058FB"/>
    <w:rsid w:val="00316986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5EF5"/>
    <w:rsid w:val="00346C29"/>
    <w:rsid w:val="003473D6"/>
    <w:rsid w:val="00347D3E"/>
    <w:rsid w:val="00352F23"/>
    <w:rsid w:val="0035345D"/>
    <w:rsid w:val="00357CF5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313"/>
    <w:rsid w:val="003C19D5"/>
    <w:rsid w:val="003C6379"/>
    <w:rsid w:val="003C793C"/>
    <w:rsid w:val="003C79B6"/>
    <w:rsid w:val="003D698E"/>
    <w:rsid w:val="003E05B5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416AD"/>
    <w:rsid w:val="00451C78"/>
    <w:rsid w:val="00453E0E"/>
    <w:rsid w:val="00455551"/>
    <w:rsid w:val="00455CCA"/>
    <w:rsid w:val="00460A19"/>
    <w:rsid w:val="004616E6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5D8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B6217"/>
    <w:rsid w:val="004C0194"/>
    <w:rsid w:val="004C15EF"/>
    <w:rsid w:val="004C2A25"/>
    <w:rsid w:val="004C3097"/>
    <w:rsid w:val="004C31F5"/>
    <w:rsid w:val="004C5B94"/>
    <w:rsid w:val="004D139D"/>
    <w:rsid w:val="004E08D5"/>
    <w:rsid w:val="004E0BA4"/>
    <w:rsid w:val="004F08B6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6213"/>
    <w:rsid w:val="00567048"/>
    <w:rsid w:val="00570975"/>
    <w:rsid w:val="005777D4"/>
    <w:rsid w:val="00581AD0"/>
    <w:rsid w:val="005838E8"/>
    <w:rsid w:val="0059290D"/>
    <w:rsid w:val="005A58CA"/>
    <w:rsid w:val="005A67E8"/>
    <w:rsid w:val="005A6F19"/>
    <w:rsid w:val="005B0016"/>
    <w:rsid w:val="005B0849"/>
    <w:rsid w:val="005B3C34"/>
    <w:rsid w:val="005B7BEC"/>
    <w:rsid w:val="005C0FDF"/>
    <w:rsid w:val="005C5232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929"/>
    <w:rsid w:val="005F741E"/>
    <w:rsid w:val="006016DD"/>
    <w:rsid w:val="00602320"/>
    <w:rsid w:val="006047E5"/>
    <w:rsid w:val="0062148B"/>
    <w:rsid w:val="006252B2"/>
    <w:rsid w:val="0062703F"/>
    <w:rsid w:val="00632476"/>
    <w:rsid w:val="00633205"/>
    <w:rsid w:val="00633870"/>
    <w:rsid w:val="006359D9"/>
    <w:rsid w:val="00636956"/>
    <w:rsid w:val="00641ED8"/>
    <w:rsid w:val="0064247A"/>
    <w:rsid w:val="006434D5"/>
    <w:rsid w:val="00646147"/>
    <w:rsid w:val="00647080"/>
    <w:rsid w:val="00652BA7"/>
    <w:rsid w:val="0065578A"/>
    <w:rsid w:val="0065593C"/>
    <w:rsid w:val="0066138F"/>
    <w:rsid w:val="00662198"/>
    <w:rsid w:val="0066265A"/>
    <w:rsid w:val="00672531"/>
    <w:rsid w:val="00673320"/>
    <w:rsid w:val="00676212"/>
    <w:rsid w:val="00676A2A"/>
    <w:rsid w:val="006775D0"/>
    <w:rsid w:val="00685E37"/>
    <w:rsid w:val="00687055"/>
    <w:rsid w:val="00687139"/>
    <w:rsid w:val="00690989"/>
    <w:rsid w:val="00690DC5"/>
    <w:rsid w:val="0069117D"/>
    <w:rsid w:val="00697E27"/>
    <w:rsid w:val="006A0646"/>
    <w:rsid w:val="006A23B7"/>
    <w:rsid w:val="006A621E"/>
    <w:rsid w:val="006A7511"/>
    <w:rsid w:val="006B1468"/>
    <w:rsid w:val="006B2438"/>
    <w:rsid w:val="006B2996"/>
    <w:rsid w:val="006B6137"/>
    <w:rsid w:val="006B6C51"/>
    <w:rsid w:val="006C0C40"/>
    <w:rsid w:val="006C0EFD"/>
    <w:rsid w:val="006C4B96"/>
    <w:rsid w:val="006C772A"/>
    <w:rsid w:val="006C7B2E"/>
    <w:rsid w:val="006D1584"/>
    <w:rsid w:val="006D34C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0ECF"/>
    <w:rsid w:val="00734455"/>
    <w:rsid w:val="007344E5"/>
    <w:rsid w:val="00746955"/>
    <w:rsid w:val="00750104"/>
    <w:rsid w:val="00752166"/>
    <w:rsid w:val="00755015"/>
    <w:rsid w:val="00755A74"/>
    <w:rsid w:val="00755E70"/>
    <w:rsid w:val="007651BB"/>
    <w:rsid w:val="00765923"/>
    <w:rsid w:val="00765A45"/>
    <w:rsid w:val="00766D14"/>
    <w:rsid w:val="0077039E"/>
    <w:rsid w:val="00772245"/>
    <w:rsid w:val="00773CE9"/>
    <w:rsid w:val="00780939"/>
    <w:rsid w:val="00781574"/>
    <w:rsid w:val="00792FDA"/>
    <w:rsid w:val="007A4758"/>
    <w:rsid w:val="007B0905"/>
    <w:rsid w:val="007B1AB3"/>
    <w:rsid w:val="007B22F1"/>
    <w:rsid w:val="007B4689"/>
    <w:rsid w:val="007B5B6E"/>
    <w:rsid w:val="007B695B"/>
    <w:rsid w:val="007B6990"/>
    <w:rsid w:val="007C0AD9"/>
    <w:rsid w:val="007C2527"/>
    <w:rsid w:val="007C271C"/>
    <w:rsid w:val="007C33E4"/>
    <w:rsid w:val="007D4F36"/>
    <w:rsid w:val="007D5C03"/>
    <w:rsid w:val="007D6470"/>
    <w:rsid w:val="007D7954"/>
    <w:rsid w:val="007E7241"/>
    <w:rsid w:val="007E7978"/>
    <w:rsid w:val="007F28E0"/>
    <w:rsid w:val="007F2DD0"/>
    <w:rsid w:val="007F6834"/>
    <w:rsid w:val="00800DBE"/>
    <w:rsid w:val="008109B7"/>
    <w:rsid w:val="00816367"/>
    <w:rsid w:val="008167A3"/>
    <w:rsid w:val="0082172B"/>
    <w:rsid w:val="008226C4"/>
    <w:rsid w:val="00823F4D"/>
    <w:rsid w:val="00826930"/>
    <w:rsid w:val="00834D33"/>
    <w:rsid w:val="00835521"/>
    <w:rsid w:val="00835AF9"/>
    <w:rsid w:val="00837770"/>
    <w:rsid w:val="00843F59"/>
    <w:rsid w:val="00844F73"/>
    <w:rsid w:val="008462C8"/>
    <w:rsid w:val="0084791D"/>
    <w:rsid w:val="00847E9B"/>
    <w:rsid w:val="008511B9"/>
    <w:rsid w:val="00853B35"/>
    <w:rsid w:val="00854F7D"/>
    <w:rsid w:val="008554B2"/>
    <w:rsid w:val="00861A1E"/>
    <w:rsid w:val="008639A2"/>
    <w:rsid w:val="00876AE5"/>
    <w:rsid w:val="00876E85"/>
    <w:rsid w:val="00881328"/>
    <w:rsid w:val="00882047"/>
    <w:rsid w:val="00883328"/>
    <w:rsid w:val="0088465C"/>
    <w:rsid w:val="00885065"/>
    <w:rsid w:val="008871BE"/>
    <w:rsid w:val="0088787F"/>
    <w:rsid w:val="0089416F"/>
    <w:rsid w:val="0089474C"/>
    <w:rsid w:val="00895054"/>
    <w:rsid w:val="008A29FE"/>
    <w:rsid w:val="008A53CC"/>
    <w:rsid w:val="008A71BF"/>
    <w:rsid w:val="008A7E66"/>
    <w:rsid w:val="008A7F9B"/>
    <w:rsid w:val="008B78A5"/>
    <w:rsid w:val="008C0EE7"/>
    <w:rsid w:val="008C71C4"/>
    <w:rsid w:val="008D2A13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8C0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4B6F"/>
    <w:rsid w:val="009354EB"/>
    <w:rsid w:val="00937837"/>
    <w:rsid w:val="00937DCE"/>
    <w:rsid w:val="00952E5F"/>
    <w:rsid w:val="00953684"/>
    <w:rsid w:val="00953A45"/>
    <w:rsid w:val="00956E06"/>
    <w:rsid w:val="009625F0"/>
    <w:rsid w:val="00967AFC"/>
    <w:rsid w:val="00973292"/>
    <w:rsid w:val="00974D51"/>
    <w:rsid w:val="00976323"/>
    <w:rsid w:val="00980284"/>
    <w:rsid w:val="009822E4"/>
    <w:rsid w:val="00985D07"/>
    <w:rsid w:val="009914E4"/>
    <w:rsid w:val="0099440A"/>
    <w:rsid w:val="00996330"/>
    <w:rsid w:val="009A3626"/>
    <w:rsid w:val="009A3D04"/>
    <w:rsid w:val="009B681C"/>
    <w:rsid w:val="009B6ADE"/>
    <w:rsid w:val="009C5159"/>
    <w:rsid w:val="009C74C3"/>
    <w:rsid w:val="009D070C"/>
    <w:rsid w:val="009D326A"/>
    <w:rsid w:val="009D4307"/>
    <w:rsid w:val="009D4E32"/>
    <w:rsid w:val="009E1299"/>
    <w:rsid w:val="009E3453"/>
    <w:rsid w:val="009E583A"/>
    <w:rsid w:val="009F2A62"/>
    <w:rsid w:val="009F4DA1"/>
    <w:rsid w:val="009F76AB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5F41"/>
    <w:rsid w:val="00A56118"/>
    <w:rsid w:val="00A600E8"/>
    <w:rsid w:val="00A60D75"/>
    <w:rsid w:val="00A60E89"/>
    <w:rsid w:val="00A61681"/>
    <w:rsid w:val="00A62824"/>
    <w:rsid w:val="00A630B6"/>
    <w:rsid w:val="00A66CF1"/>
    <w:rsid w:val="00A71A59"/>
    <w:rsid w:val="00A730A3"/>
    <w:rsid w:val="00A73E7C"/>
    <w:rsid w:val="00A74871"/>
    <w:rsid w:val="00A86451"/>
    <w:rsid w:val="00A86FB1"/>
    <w:rsid w:val="00A94080"/>
    <w:rsid w:val="00A96DAB"/>
    <w:rsid w:val="00A9771C"/>
    <w:rsid w:val="00A97CCD"/>
    <w:rsid w:val="00AA2EDA"/>
    <w:rsid w:val="00AA36CA"/>
    <w:rsid w:val="00AB08E9"/>
    <w:rsid w:val="00AB420C"/>
    <w:rsid w:val="00AC2C38"/>
    <w:rsid w:val="00AC61A9"/>
    <w:rsid w:val="00AD03C4"/>
    <w:rsid w:val="00AD0F3A"/>
    <w:rsid w:val="00AD1EA5"/>
    <w:rsid w:val="00AD2253"/>
    <w:rsid w:val="00AD51D6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253"/>
    <w:rsid w:val="00B009DA"/>
    <w:rsid w:val="00B0143C"/>
    <w:rsid w:val="00B01B27"/>
    <w:rsid w:val="00B04B40"/>
    <w:rsid w:val="00B127C7"/>
    <w:rsid w:val="00B13A9D"/>
    <w:rsid w:val="00B16ED4"/>
    <w:rsid w:val="00B22612"/>
    <w:rsid w:val="00B3088D"/>
    <w:rsid w:val="00B342DC"/>
    <w:rsid w:val="00B400C2"/>
    <w:rsid w:val="00B402D0"/>
    <w:rsid w:val="00B40371"/>
    <w:rsid w:val="00B40C28"/>
    <w:rsid w:val="00B41772"/>
    <w:rsid w:val="00B421CB"/>
    <w:rsid w:val="00B459B2"/>
    <w:rsid w:val="00B47F87"/>
    <w:rsid w:val="00B502D3"/>
    <w:rsid w:val="00B51BA1"/>
    <w:rsid w:val="00B609DD"/>
    <w:rsid w:val="00B60BAE"/>
    <w:rsid w:val="00B61A52"/>
    <w:rsid w:val="00B61C72"/>
    <w:rsid w:val="00B63DFA"/>
    <w:rsid w:val="00B65A3D"/>
    <w:rsid w:val="00B6756E"/>
    <w:rsid w:val="00B758E8"/>
    <w:rsid w:val="00B761B0"/>
    <w:rsid w:val="00B7653E"/>
    <w:rsid w:val="00B81306"/>
    <w:rsid w:val="00B81A2E"/>
    <w:rsid w:val="00B822A6"/>
    <w:rsid w:val="00B83F9F"/>
    <w:rsid w:val="00B8564B"/>
    <w:rsid w:val="00B90668"/>
    <w:rsid w:val="00B906CF"/>
    <w:rsid w:val="00B92F56"/>
    <w:rsid w:val="00B936C6"/>
    <w:rsid w:val="00BA1382"/>
    <w:rsid w:val="00BA1964"/>
    <w:rsid w:val="00BA5612"/>
    <w:rsid w:val="00BA6E62"/>
    <w:rsid w:val="00BA6F48"/>
    <w:rsid w:val="00BB32C5"/>
    <w:rsid w:val="00BB4ACD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BF7601"/>
    <w:rsid w:val="00C03653"/>
    <w:rsid w:val="00C050C1"/>
    <w:rsid w:val="00C061A6"/>
    <w:rsid w:val="00C063CD"/>
    <w:rsid w:val="00C071FC"/>
    <w:rsid w:val="00C078F0"/>
    <w:rsid w:val="00C13DE4"/>
    <w:rsid w:val="00C163DE"/>
    <w:rsid w:val="00C2068C"/>
    <w:rsid w:val="00C21D6C"/>
    <w:rsid w:val="00C24254"/>
    <w:rsid w:val="00C243B0"/>
    <w:rsid w:val="00C24C42"/>
    <w:rsid w:val="00C31F92"/>
    <w:rsid w:val="00C36DA6"/>
    <w:rsid w:val="00C40ECF"/>
    <w:rsid w:val="00C45ACC"/>
    <w:rsid w:val="00C47EFE"/>
    <w:rsid w:val="00C47F49"/>
    <w:rsid w:val="00C50222"/>
    <w:rsid w:val="00C60260"/>
    <w:rsid w:val="00C63D8C"/>
    <w:rsid w:val="00C71651"/>
    <w:rsid w:val="00C719D2"/>
    <w:rsid w:val="00C732FD"/>
    <w:rsid w:val="00C73E99"/>
    <w:rsid w:val="00C74BE5"/>
    <w:rsid w:val="00C7526C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0574"/>
    <w:rsid w:val="00CC1607"/>
    <w:rsid w:val="00CC25B7"/>
    <w:rsid w:val="00CC462F"/>
    <w:rsid w:val="00CC559B"/>
    <w:rsid w:val="00CD19BE"/>
    <w:rsid w:val="00CD71DB"/>
    <w:rsid w:val="00CE7C95"/>
    <w:rsid w:val="00CF10AD"/>
    <w:rsid w:val="00CF3BEB"/>
    <w:rsid w:val="00CF3C8B"/>
    <w:rsid w:val="00CF5CC0"/>
    <w:rsid w:val="00D00402"/>
    <w:rsid w:val="00D012C2"/>
    <w:rsid w:val="00D04600"/>
    <w:rsid w:val="00D11A78"/>
    <w:rsid w:val="00D125D9"/>
    <w:rsid w:val="00D12F75"/>
    <w:rsid w:val="00D163AD"/>
    <w:rsid w:val="00D25D21"/>
    <w:rsid w:val="00D30208"/>
    <w:rsid w:val="00D30D7C"/>
    <w:rsid w:val="00D335CB"/>
    <w:rsid w:val="00D339F6"/>
    <w:rsid w:val="00D35532"/>
    <w:rsid w:val="00D3784E"/>
    <w:rsid w:val="00D4047C"/>
    <w:rsid w:val="00D412E8"/>
    <w:rsid w:val="00D45F35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3CF8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C3C10"/>
    <w:rsid w:val="00DD4346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1859"/>
    <w:rsid w:val="00E03EEF"/>
    <w:rsid w:val="00E062FF"/>
    <w:rsid w:val="00E07388"/>
    <w:rsid w:val="00E12C84"/>
    <w:rsid w:val="00E16C05"/>
    <w:rsid w:val="00E17A12"/>
    <w:rsid w:val="00E32961"/>
    <w:rsid w:val="00E332AA"/>
    <w:rsid w:val="00E36215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473DC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4B2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16A"/>
    <w:rsid w:val="00EE63E0"/>
    <w:rsid w:val="00EF4909"/>
    <w:rsid w:val="00EF5B56"/>
    <w:rsid w:val="00EF60C4"/>
    <w:rsid w:val="00EF6DA5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520C"/>
    <w:rsid w:val="00F56BB9"/>
    <w:rsid w:val="00F61328"/>
    <w:rsid w:val="00F62421"/>
    <w:rsid w:val="00F629D7"/>
    <w:rsid w:val="00F63406"/>
    <w:rsid w:val="00F6728D"/>
    <w:rsid w:val="00F70F5B"/>
    <w:rsid w:val="00F7400C"/>
    <w:rsid w:val="00F75F62"/>
    <w:rsid w:val="00F775AB"/>
    <w:rsid w:val="00F77C89"/>
    <w:rsid w:val="00F80716"/>
    <w:rsid w:val="00F81FBA"/>
    <w:rsid w:val="00F85812"/>
    <w:rsid w:val="00F96A1D"/>
    <w:rsid w:val="00F96B57"/>
    <w:rsid w:val="00F96C49"/>
    <w:rsid w:val="00F96D64"/>
    <w:rsid w:val="00FA1157"/>
    <w:rsid w:val="00FB14BB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479DA0"/>
  <w15:docId w15:val="{61BEA9A2-F874-476A-815D-2BC326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uiPriority w:val="59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uiPriority w:val="59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7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8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  <w:style w:type="character" w:styleId="Strong">
    <w:name w:val="Strong"/>
    <w:basedOn w:val="DefaultParagraphFont"/>
    <w:uiPriority w:val="22"/>
    <w:qFormat/>
    <w:rsid w:val="00755015"/>
    <w:rPr>
      <w:b/>
      <w:bCs/>
    </w:rPr>
  </w:style>
  <w:style w:type="character" w:customStyle="1" w:styleId="srch-url2">
    <w:name w:val="srch-url2"/>
    <w:basedOn w:val="DefaultParagraphFont"/>
    <w:rsid w:val="0075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9E11B-7E0D-4B02-B346-22C6614349FD}"/>
</file>

<file path=customXml/itemProps2.xml><?xml version="1.0" encoding="utf-8"?>
<ds:datastoreItem xmlns:ds="http://schemas.openxmlformats.org/officeDocument/2006/customXml" ds:itemID="{8BAF408C-62E4-4AE5-8CF1-543C624A030F}"/>
</file>

<file path=customXml/itemProps3.xml><?xml version="1.0" encoding="utf-8"?>
<ds:datastoreItem xmlns:ds="http://schemas.openxmlformats.org/officeDocument/2006/customXml" ds:itemID="{54C1B5F7-A662-4565-BE68-6708B9D7D565}"/>
</file>

<file path=customXml/itemProps4.xml><?xml version="1.0" encoding="utf-8"?>
<ds:datastoreItem xmlns:ds="http://schemas.openxmlformats.org/officeDocument/2006/customXml" ds:itemID="{D7FF2FE8-1CC7-42AE-8519-AD6237282F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29E11B-7E0D-4B02-B346-22C6614349F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4D4E196-34A1-4180-A6BA-2F1C87A8C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1289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8986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keywords/>
  <cp:lastModifiedBy>Joanna Richards</cp:lastModifiedBy>
  <cp:revision>5</cp:revision>
  <cp:lastPrinted>2018-11-21T03:34:00Z</cp:lastPrinted>
  <dcterms:created xsi:type="dcterms:W3CDTF">2018-11-19T00:09:00Z</dcterms:created>
  <dcterms:modified xsi:type="dcterms:W3CDTF">2018-11-21T03:35:00Z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46eafac9-6368-475c-83d4-f85c7c23377d</vt:lpwstr>
  </property>
  <property fmtid="{D5CDD505-2E9C-101B-9397-08002B2CF9AE}" pid="4" name="BCS_">
    <vt:lpwstr>29;#Gazettal|f1db245e-f8a7-4134-8fa5-54a0210eb1b1</vt:lpwstr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ocIndexRef">
    <vt:lpwstr>8e6945bf-424c-4878-889d-a930bbe576bc</vt:lpwstr>
  </property>
  <property fmtid="{D5CDD505-2E9C-101B-9397-08002B2CF9AE}" pid="8" name="bjSaver">
    <vt:lpwstr>NSFRDT7Tn/FO0AUR+MQuRqLcq8my1dRo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bjDocumentSecurityLabel">
    <vt:lpwstr>NO SECURITY CLASSIFICATION REQUIRED</vt:lpwstr>
  </property>
  <property fmtid="{D5CDD505-2E9C-101B-9397-08002B2CF9AE}" pid="12" name="DisposalClass">
    <vt:lpwstr/>
  </property>
  <property fmtid="{D5CDD505-2E9C-101B-9397-08002B2CF9AE}" pid="13" name="DataAccessibility">
    <vt:lpwstr/>
  </property>
  <property fmtid="{D5CDD505-2E9C-101B-9397-08002B2CF9AE}" pid="14" name="DataPrivacy">
    <vt:lpwstr/>
  </property>
  <property fmtid="{D5CDD505-2E9C-101B-9397-08002B2CF9AE}" pid="15" name="DataCategory">
    <vt:lpwstr/>
  </property>
  <property fmtid="{D5CDD505-2E9C-101B-9397-08002B2CF9AE}" pid="16" name="DataCustodian">
    <vt:lpwstr/>
  </property>
  <property fmtid="{D5CDD505-2E9C-101B-9397-08002B2CF9AE}" pid="17" name="MachineReadable">
    <vt:bool>false</vt:bool>
  </property>
  <property fmtid="{D5CDD505-2E9C-101B-9397-08002B2CF9AE}" pid="18" name="Origin">
    <vt:lpwstr>, </vt:lpwstr>
  </property>
  <property fmtid="{D5CDD505-2E9C-101B-9397-08002B2CF9AE}" pid="19" name="SummaryDocument">
    <vt:lpwstr>, 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WebId">
    <vt:lpwstr>{7e329c68-5cbf-4e54-96e5-e53e71021bd2}</vt:lpwstr>
  </property>
  <property fmtid="{D5CDD505-2E9C-101B-9397-08002B2CF9AE}" pid="22" name="RecordPoint_ActiveItemSiteId">
    <vt:lpwstr>{dd95a578-5c6a-4f11-92f7-f95884d628d6}</vt:lpwstr>
  </property>
  <property fmtid="{D5CDD505-2E9C-101B-9397-08002B2CF9AE}" pid="23" name="RecordPoint_ActiveItemListId">
    <vt:lpwstr>{be1242c2-d3a9-4742-8704-81476de51a15}</vt:lpwstr>
  </property>
  <property fmtid="{D5CDD505-2E9C-101B-9397-08002B2CF9AE}" pid="24" name="RecordPoint_ActiveItemUniqueId">
    <vt:lpwstr>{5d18e5a9-ea62-4119-8ce8-d302ba6b5979}</vt:lpwstr>
  </property>
  <property fmtid="{D5CDD505-2E9C-101B-9397-08002B2CF9AE}" pid="25" name="RecordPoint_RecordNumberSubmitted">
    <vt:lpwstr>R0000069608</vt:lpwstr>
  </property>
  <property fmtid="{D5CDD505-2E9C-101B-9397-08002B2CF9AE}" pid="26" name="RecordPoint_SubmissionCompleted">
    <vt:lpwstr>2018-08-22T13:15:09.6716284+10:00</vt:lpwstr>
  </property>
  <property fmtid="{D5CDD505-2E9C-101B-9397-08002B2CF9AE}" pid="27" name="DataCategoryTaxHTField">
    <vt:lpwstr/>
  </property>
  <property fmtid="{D5CDD505-2E9C-101B-9397-08002B2CF9AE}" pid="28" name="a41428b017d04df981d58ffdf035d7b8">
    <vt:lpwstr/>
  </property>
  <property fmtid="{D5CDD505-2E9C-101B-9397-08002B2CF9AE}" pid="29" name="DataPrivacyTaxHTField">
    <vt:lpwstr/>
  </property>
  <property fmtid="{D5CDD505-2E9C-101B-9397-08002B2CF9AE}" pid="30" name="DataAccessibilityTaxHTField">
    <vt:lpwstr/>
  </property>
</Properties>
</file>